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Supplementary Material to the Manuscript: Combining temperate fruit tree cultivars to fit spring phenology models</w:t>
      </w:r>
    </w:p>
    <w:p>
      <w:pPr>
        <w:pStyle w:val="Subtitle"/>
      </w:pPr>
      <w:r>
        <w:t xml:space="preserve">Sumbited to International Journal of Biometeorology</w:t>
      </w:r>
    </w:p>
    <w:p>
      <w:pPr>
        <w:pStyle w:val="Date"/>
      </w:pPr>
      <w:r>
        <w:t xml:space="preserve">2025-11-20</w:t>
      </w:r>
    </w:p>
    <w:p>
      <w:pPr>
        <w:pStyle w:val="AbstractTitle"/>
      </w:pPr>
      <w:r>
        <w:t xml:space="preserve">Abstract</w:t>
      </w:r>
    </w:p>
    <w:p>
      <w:pPr>
        <w:pStyle w:val="Abstract"/>
      </w:pPr>
      <w:r>
        <w:t xml:space="preserve">Phenological datasets for temperate fruit trees are often short , fragmented and geographically restricted, which hampers the development of cultivar-specific spring phenology models. To address this, we propose a novel calibration approach (</w:t>
      </w:r>
      <w:r>
        <w:t xml:space="preserve">“combined-fitting”</w:t>
      </w:r>
      <w:r>
        <w:t xml:space="preserve">), which pools observations from several cultivars of the same species, distinguishing between shared and cultivar-specific parameters. This method requires fewer observations per cultivar and allows jointly analyzing cultivars of the same species. We evaluate combined-fitting using the PhenoFlex framework, comparing it to a baseline model and to models that are fitted only with data for single cultivars (</w:t>
      </w:r>
      <w:r>
        <w:t xml:space="preserve">“cultivar-fit”</w:t>
      </w:r>
      <w:r>
        <w:t xml:space="preserve">). Our analysis is based on flowering data from nine almond, six apricot and six sweet cherry cultivars across Mediterranean (Spain, Morocco, Tunisia) and German climates. The combined-fit model failed to achieve higher prediction accuracy compared to the cultivar-fit and the baseline approach, as evidenced by similar root mean square errors across the data splits and calibration dataset sizes. When comparing the estimated parameters of the chill and heat accumulation submodels, we observed a large variation among cultivars of the same species in the cultivar-fit models. In contrast and by design, the combined-fit yielded only one parameter set for cultivars of the same species. Our findings demonstrate that integrating data from multiple cultivars can yield spring phenology models with high accuracy. Even though the combined-fit approach did not outperform the cultivar-fit approach, combined-fitting offers a practical solution for spring phenology modeling with limited datasets and facilitates comparison across cultivars of the same species.</w:t>
      </w:r>
    </w:p>
    <w:bookmarkStart w:id="20" w:name="introduction"/>
    <w:p>
      <w:pPr>
        <w:pStyle w:val="Heading2"/>
      </w:pPr>
      <w:r>
        <w:t xml:space="preserve">1 Introduction</w:t>
      </w:r>
    </w:p>
    <w:p>
      <w:pPr>
        <w:pStyle w:val="FirstParagraph"/>
      </w:pPr>
      <w:r>
        <w:t xml:space="preserve">This document contains supplementary materials for the journal article:</w:t>
      </w:r>
      <w:r>
        <w:t xml:space="preserve"> </w:t>
      </w:r>
      <w:r>
        <w:rPr>
          <w:i/>
          <w:iCs/>
        </w:rPr>
        <w:t xml:space="preserve">Combining temperate fruit tree cultivar to fit spring phenology models</w:t>
      </w:r>
      <w:r>
        <w:t xml:space="preserve">. It includes additional tables and files that were not part of the main article, as well as the code to replicate the analyses.</w:t>
      </w:r>
    </w:p>
    <w:p>
      <w:pPr>
        <w:pStyle w:val="BodyText"/>
      </w:pPr>
      <w:r>
        <w:t xml:space="preserve">The phenology analyzed here are part of a long-term phenology dataset</w:t>
      </w:r>
      <w:r>
        <w:t xml:space="preserve"> </w:t>
      </w:r>
      <w:r>
        <w:t xml:space="preserve">(Luedeling, Caspersen, Delgado Delgado, et al., 2024)</w:t>
      </w:r>
      <w:r>
        <w:t xml:space="preserve"> </w:t>
      </w:r>
      <w:r>
        <w:t xml:space="preserve">compiled within the</w:t>
      </w:r>
      <w:r>
        <w:t xml:space="preserve"> </w:t>
      </w:r>
      <w:r>
        <w:rPr>
          <w:i/>
          <w:iCs/>
        </w:rPr>
        <w:t xml:space="preserve">Adapting Mediterranean Orchards (AdaMedOr)</w:t>
      </w:r>
      <w:r>
        <w:t xml:space="preserve"> </w:t>
      </w:r>
      <w:r>
        <w:t xml:space="preserve">project. Of the more than 270 cultivars in the dataset, a subset of 110 cultivars has been analyzed by</w:t>
      </w:r>
      <w:r>
        <w:t xml:space="preserve"> </w:t>
      </w:r>
      <w:r>
        <w:t xml:space="preserve">Caspersen et al. (2025)</w:t>
      </w:r>
      <w:r>
        <w:t xml:space="preserve"> </w:t>
      </w:r>
      <w:r>
        <w:t xml:space="preserve">using the PhenoFlex framework</w:t>
      </w:r>
      <w:r>
        <w:t xml:space="preserve"> </w:t>
      </w:r>
      <w:r>
        <w:t xml:space="preserve">(Luedeling et al., 2021)</w:t>
      </w:r>
      <w:r>
        <w:t xml:space="preserve">, available via the R package</w:t>
      </w:r>
      <w:r>
        <w:t xml:space="preserve"> </w:t>
      </w:r>
      <w:r>
        <w:rPr>
          <w:i/>
          <w:iCs/>
        </w:rPr>
        <w:t xml:space="preserve">chillR</w:t>
      </w:r>
      <w:r>
        <w:t xml:space="preserve"> </w:t>
      </w:r>
      <w:r>
        <w:t xml:space="preserve">(Luedeling, Caspersen, &amp; Fernandez, 2024)</w:t>
      </w:r>
      <w:r>
        <w:t xml:space="preserve">. In addition to model calibration, the analysis includes climate change impact projections on future bloom dates.</w:t>
      </w:r>
    </w:p>
    <w:p>
      <w:pPr>
        <w:pStyle w:val="BodyText"/>
      </w:pPr>
      <w:r>
        <w:t xml:space="preserve">More than 50% of the cultivars in the dataset were not analyzed because the bloom observations were considered too short for calibration with PhenoFlex. We propose an alternative calibration method,</w:t>
      </w:r>
      <w:r>
        <w:t xml:space="preserve"> </w:t>
      </w:r>
      <w:r>
        <w:rPr>
          <w:b/>
          <w:bCs/>
        </w:rPr>
        <w:t xml:space="preserve">combine- fitting</w:t>
      </w:r>
      <w:r>
        <w:t xml:space="preserve">, which reduces the number parameters estimated per cultivar and may allow the joint analysis of cultivars of the same fruit tree species. We evaluate combined-fit approach for three temperate fruit and nut species (almond, apricot, sweet cherry) and compare the results with those from a baseline model and from a common calibration approach in which each cultivar is calibrated separately. We perform the analysis for the full dataset and for an artificially shortened dataset.</w:t>
      </w:r>
    </w:p>
    <w:p>
      <w:pPr>
        <w:pStyle w:val="BodyText"/>
      </w:pPr>
      <w:r>
        <w:t xml:space="preserve">Parts of the function that we present in this document are available via the R packages</w:t>
      </w:r>
      <w:r>
        <w:t xml:space="preserve"> </w:t>
      </w:r>
      <w:r>
        <w:rPr>
          <w:i/>
          <w:iCs/>
        </w:rPr>
        <w:t xml:space="preserve">evalpheno</w:t>
      </w:r>
      <w:r>
        <w:t xml:space="preserve"> </w:t>
      </w:r>
      <w:r>
        <w:t xml:space="preserve">(Caspersen, 2025a)</w:t>
      </w:r>
      <w:r>
        <w:t xml:space="preserve"> </w:t>
      </w:r>
      <w:r>
        <w:t xml:space="preserve">and</w:t>
      </w:r>
      <w:r>
        <w:t xml:space="preserve"> </w:t>
      </w:r>
      <w:r>
        <w:rPr>
          <w:i/>
          <w:iCs/>
        </w:rPr>
        <w:t xml:space="preserve">LarsChill</w:t>
      </w:r>
      <w:r>
        <w:t xml:space="preserve"> </w:t>
      </w:r>
      <w:r>
        <w:t xml:space="preserve">(Caspersen, 2025b)</w:t>
      </w:r>
      <w:r>
        <w:t xml:space="preserve">. Both packages are currently available via GitHub.</w:t>
      </w:r>
    </w:p>
    <w:bookmarkEnd w:id="20"/>
    <w:bookmarkStart w:id="22" w:name="supplementary-table"/>
    <w:p>
      <w:pPr>
        <w:pStyle w:val="Heading2"/>
      </w:pPr>
      <w:r>
        <w:t xml:space="preserve">2 Supplementary Table</w:t>
      </w:r>
    </w:p>
    <w:p>
      <w:pPr>
        <w:pStyle w:val="TableCaption"/>
      </w:pPr>
      <w:r>
        <w:t xml:space="preserve">Overview on the full bloom dataset for almond, apricot and sweet cherry cultivars</w:t>
      </w:r>
    </w:p>
    <w:tbl>
      <w:tblPr>
        <w:tblStyle w:val="Table"/>
        <w:tblW w:type="pct" w:w="5000"/>
        <w:tblLayout w:type="fixed"/>
        <w:tblLook w:firstRow="1" w:lastRow="0" w:firstColumn="0" w:lastColumn="0" w:noHBand="0" w:noVBand="0" w:val="0020"/>
        <w:tblCaption w:val="Overview on the full bloom dataset for almond, apricot and sweet cherry cultivars"/>
      </w:tblPr>
      <w:tblGrid>
        <w:gridCol w:w="1430"/>
        <w:gridCol w:w="1760"/>
        <w:gridCol w:w="880"/>
        <w:gridCol w:w="1320"/>
        <w:gridCol w:w="1210"/>
        <w:gridCol w:w="990"/>
        <w:gridCol w:w="330"/>
      </w:tblGrid>
      <w:tr>
        <w:trPr>
          <w:tblHeader w:val="on"/>
        </w:trPr>
        <w:tc>
          <w:tcPr/>
          <w:p>
            <w:pPr>
              <w:pStyle w:val="Compact"/>
              <w:jc w:val="left"/>
            </w:pPr>
            <w:r>
              <w:t xml:space="preserve">Species</w:t>
            </w:r>
          </w:p>
        </w:tc>
        <w:tc>
          <w:tcPr/>
          <w:p>
            <w:pPr>
              <w:pStyle w:val="Compact"/>
              <w:jc w:val="left"/>
            </w:pPr>
            <w:r>
              <w:t xml:space="preserve">Location</w:t>
            </w:r>
          </w:p>
        </w:tc>
        <w:tc>
          <w:tcPr/>
          <w:p>
            <w:pPr>
              <w:pStyle w:val="Compact"/>
              <w:jc w:val="left"/>
            </w:pPr>
            <w:r>
              <w:t xml:space="preserve">Country</w:t>
            </w:r>
          </w:p>
        </w:tc>
        <w:tc>
          <w:tcPr/>
          <w:p>
            <w:pPr>
              <w:pStyle w:val="Compact"/>
              <w:jc w:val="left"/>
            </w:pPr>
            <w:r>
              <w:t xml:space="preserve">Cultivar</w:t>
            </w:r>
          </w:p>
        </w:tc>
        <w:tc>
          <w:tcPr/>
          <w:p>
            <w:pPr>
              <w:pStyle w:val="Compact"/>
              <w:jc w:val="right"/>
            </w:pPr>
            <w:r>
              <w:t xml:space="preserve">Year Start</w:t>
            </w:r>
          </w:p>
        </w:tc>
        <w:tc>
          <w:tcPr/>
          <w:p>
            <w:pPr>
              <w:pStyle w:val="Compact"/>
              <w:jc w:val="right"/>
            </w:pPr>
            <w:r>
              <w:t xml:space="preserve">Year End</w:t>
            </w:r>
          </w:p>
        </w:tc>
        <w:tc>
          <w:tcPr/>
          <w:p>
            <w:pPr>
              <w:pStyle w:val="Compact"/>
              <w:jc w:val="right"/>
            </w:pPr>
            <w:r>
              <w:t xml:space="preserve">n</w:t>
            </w:r>
          </w:p>
        </w:tc>
      </w:tr>
      <w:tr>
        <w:tc>
          <w:tcPr/>
          <w:p>
            <w:pPr>
              <w:pStyle w:val="Compact"/>
              <w:jc w:val="left"/>
            </w:pPr>
            <w:r>
              <w:t xml:space="preserve">Almond</w:t>
            </w:r>
          </w:p>
        </w:tc>
        <w:tc>
          <w:tcPr/>
          <w:p>
            <w:pPr>
              <w:pStyle w:val="Compact"/>
              <w:jc w:val="left"/>
            </w:pPr>
            <w:r>
              <w:t xml:space="preserve">Meknes</w:t>
            </w:r>
          </w:p>
        </w:tc>
        <w:tc>
          <w:tcPr/>
          <w:p>
            <w:pPr>
              <w:pStyle w:val="Compact"/>
              <w:jc w:val="left"/>
            </w:pPr>
            <w:r>
              <w:t xml:space="preserve">Morocco</w:t>
            </w:r>
          </w:p>
        </w:tc>
        <w:tc>
          <w:tcPr/>
          <w:p>
            <w:pPr>
              <w:pStyle w:val="Compact"/>
              <w:jc w:val="left"/>
            </w:pPr>
            <w:r>
              <w:t xml:space="preserve">Ferragnes</w:t>
            </w:r>
          </w:p>
        </w:tc>
        <w:tc>
          <w:tcPr/>
          <w:p>
            <w:pPr>
              <w:pStyle w:val="Compact"/>
              <w:jc w:val="right"/>
            </w:pPr>
            <w:r>
              <w:t xml:space="preserve">1977</w:t>
            </w:r>
          </w:p>
        </w:tc>
        <w:tc>
          <w:tcPr/>
          <w:p>
            <w:pPr>
              <w:pStyle w:val="Compact"/>
              <w:jc w:val="right"/>
            </w:pPr>
            <w:r>
              <w:t xml:space="preserve">2014</w:t>
            </w:r>
          </w:p>
        </w:tc>
        <w:tc>
          <w:tcPr/>
          <w:p>
            <w:pPr>
              <w:pStyle w:val="Compact"/>
              <w:jc w:val="right"/>
            </w:pPr>
            <w:r>
              <w:t xml:space="preserve">38</w:t>
            </w:r>
          </w:p>
        </w:tc>
      </w:tr>
      <w:tr>
        <w:tc>
          <w:tcPr/>
          <w:p>
            <w:pPr>
              <w:pStyle w:val="Compact"/>
              <w:jc w:val="left"/>
            </w:pPr>
            <w:r>
              <w:t xml:space="preserve">Almond</w:t>
            </w:r>
          </w:p>
        </w:tc>
        <w:tc>
          <w:tcPr/>
          <w:p>
            <w:pPr>
              <w:pStyle w:val="Compact"/>
              <w:jc w:val="left"/>
            </w:pPr>
            <w:r>
              <w:t xml:space="preserve">Meknes</w:t>
            </w:r>
          </w:p>
        </w:tc>
        <w:tc>
          <w:tcPr/>
          <w:p>
            <w:pPr>
              <w:pStyle w:val="Compact"/>
              <w:jc w:val="left"/>
            </w:pPr>
            <w:r>
              <w:t xml:space="preserve">Morocco</w:t>
            </w:r>
          </w:p>
        </w:tc>
        <w:tc>
          <w:tcPr/>
          <w:p>
            <w:pPr>
              <w:pStyle w:val="Compact"/>
              <w:jc w:val="left"/>
            </w:pPr>
            <w:r>
              <w:t xml:space="preserve">Marcona</w:t>
            </w:r>
          </w:p>
        </w:tc>
        <w:tc>
          <w:tcPr/>
          <w:p>
            <w:pPr>
              <w:pStyle w:val="Compact"/>
              <w:jc w:val="right"/>
            </w:pPr>
            <w:r>
              <w:t xml:space="preserve">1977</w:t>
            </w:r>
          </w:p>
        </w:tc>
        <w:tc>
          <w:tcPr/>
          <w:p>
            <w:pPr>
              <w:pStyle w:val="Compact"/>
              <w:jc w:val="right"/>
            </w:pPr>
            <w:r>
              <w:t xml:space="preserve">2014</w:t>
            </w:r>
          </w:p>
        </w:tc>
        <w:tc>
          <w:tcPr/>
          <w:p>
            <w:pPr>
              <w:pStyle w:val="Compact"/>
              <w:jc w:val="right"/>
            </w:pPr>
            <w:r>
              <w:t xml:space="preserve">38</w:t>
            </w:r>
          </w:p>
        </w:tc>
      </w:tr>
      <w:tr>
        <w:tc>
          <w:tcPr/>
          <w:p>
            <w:pPr>
              <w:pStyle w:val="Compact"/>
              <w:jc w:val="left"/>
            </w:pPr>
            <w:r>
              <w:t xml:space="preserve">Almond</w:t>
            </w:r>
          </w:p>
        </w:tc>
        <w:tc>
          <w:tcPr/>
          <w:p>
            <w:pPr>
              <w:pStyle w:val="Compact"/>
              <w:jc w:val="left"/>
            </w:pPr>
            <w:r>
              <w:t xml:space="preserve">Meknes</w:t>
            </w:r>
          </w:p>
        </w:tc>
        <w:tc>
          <w:tcPr/>
          <w:p>
            <w:pPr>
              <w:pStyle w:val="Compact"/>
              <w:jc w:val="left"/>
            </w:pPr>
            <w:r>
              <w:t xml:space="preserve">Morocco</w:t>
            </w:r>
          </w:p>
        </w:tc>
        <w:tc>
          <w:tcPr/>
          <w:p>
            <w:pPr>
              <w:pStyle w:val="Compact"/>
              <w:jc w:val="left"/>
            </w:pPr>
            <w:r>
              <w:t xml:space="preserve">Tuono</w:t>
            </w:r>
          </w:p>
        </w:tc>
        <w:tc>
          <w:tcPr/>
          <w:p>
            <w:pPr>
              <w:pStyle w:val="Compact"/>
              <w:jc w:val="right"/>
            </w:pPr>
            <w:r>
              <w:t xml:space="preserve">1974</w:t>
            </w:r>
          </w:p>
        </w:tc>
        <w:tc>
          <w:tcPr/>
          <w:p>
            <w:pPr>
              <w:pStyle w:val="Compact"/>
              <w:jc w:val="right"/>
            </w:pPr>
            <w:r>
              <w:t xml:space="preserve">2014</w:t>
            </w:r>
          </w:p>
        </w:tc>
        <w:tc>
          <w:tcPr/>
          <w:p>
            <w:pPr>
              <w:pStyle w:val="Compact"/>
              <w:jc w:val="right"/>
            </w:pPr>
            <w:r>
              <w:t xml:space="preserve">41</w:t>
            </w:r>
          </w:p>
        </w:tc>
      </w:tr>
      <w:tr>
        <w:tc>
          <w:tcPr/>
          <w:p>
            <w:pPr>
              <w:pStyle w:val="Compact"/>
              <w:jc w:val="left"/>
            </w:pPr>
            <w:r>
              <w:t xml:space="preserve">Almond</w:t>
            </w:r>
          </w:p>
        </w:tc>
        <w:tc>
          <w:tcPr/>
          <w:p>
            <w:pPr>
              <w:pStyle w:val="Compact"/>
              <w:jc w:val="left"/>
            </w:pPr>
            <w:r>
              <w:t xml:space="preserve">Santomera</w:t>
            </w:r>
          </w:p>
        </w:tc>
        <w:tc>
          <w:tcPr/>
          <w:p>
            <w:pPr>
              <w:pStyle w:val="Compact"/>
              <w:jc w:val="left"/>
            </w:pPr>
            <w:r>
              <w:t xml:space="preserve">Spain</w:t>
            </w:r>
          </w:p>
        </w:tc>
        <w:tc>
          <w:tcPr/>
          <w:p>
            <w:pPr>
              <w:pStyle w:val="Compact"/>
              <w:jc w:val="left"/>
            </w:pPr>
            <w:r>
              <w:t xml:space="preserve">Achaak</w:t>
            </w:r>
          </w:p>
        </w:tc>
        <w:tc>
          <w:tcPr/>
          <w:p>
            <w:pPr>
              <w:pStyle w:val="Compact"/>
              <w:jc w:val="right"/>
            </w:pPr>
            <w:r>
              <w:t xml:space="preserve">1997</w:t>
            </w:r>
          </w:p>
        </w:tc>
        <w:tc>
          <w:tcPr/>
          <w:p>
            <w:pPr>
              <w:pStyle w:val="Compact"/>
              <w:jc w:val="right"/>
            </w:pPr>
            <w:r>
              <w:t xml:space="preserve">2019</w:t>
            </w:r>
          </w:p>
        </w:tc>
        <w:tc>
          <w:tcPr/>
          <w:p>
            <w:pPr>
              <w:pStyle w:val="Compact"/>
              <w:jc w:val="right"/>
            </w:pPr>
            <w:r>
              <w:t xml:space="preserve">13</w:t>
            </w:r>
          </w:p>
        </w:tc>
      </w:tr>
      <w:tr>
        <w:tc>
          <w:tcPr/>
          <w:p>
            <w:pPr>
              <w:pStyle w:val="Compact"/>
              <w:jc w:val="left"/>
            </w:pPr>
            <w:r>
              <w:t xml:space="preserve">Almond</w:t>
            </w:r>
          </w:p>
        </w:tc>
        <w:tc>
          <w:tcPr/>
          <w:p>
            <w:pPr>
              <w:pStyle w:val="Compact"/>
              <w:jc w:val="left"/>
            </w:pPr>
            <w:r>
              <w:t xml:space="preserve">Santomera</w:t>
            </w:r>
          </w:p>
        </w:tc>
        <w:tc>
          <w:tcPr/>
          <w:p>
            <w:pPr>
              <w:pStyle w:val="Compact"/>
              <w:jc w:val="left"/>
            </w:pPr>
            <w:r>
              <w:t xml:space="preserve">Spain</w:t>
            </w:r>
          </w:p>
        </w:tc>
        <w:tc>
          <w:tcPr/>
          <w:p>
            <w:pPr>
              <w:pStyle w:val="Compact"/>
              <w:jc w:val="left"/>
            </w:pPr>
            <w:r>
              <w:t xml:space="preserve">Desmayo</w:t>
            </w:r>
          </w:p>
        </w:tc>
        <w:tc>
          <w:tcPr/>
          <w:p>
            <w:pPr>
              <w:pStyle w:val="Compact"/>
              <w:jc w:val="right"/>
            </w:pPr>
            <w:r>
              <w:t xml:space="preserve">1997</w:t>
            </w:r>
          </w:p>
        </w:tc>
        <w:tc>
          <w:tcPr/>
          <w:p>
            <w:pPr>
              <w:pStyle w:val="Compact"/>
              <w:jc w:val="right"/>
            </w:pPr>
            <w:r>
              <w:t xml:space="preserve">2022</w:t>
            </w:r>
          </w:p>
        </w:tc>
        <w:tc>
          <w:tcPr/>
          <w:p>
            <w:pPr>
              <w:pStyle w:val="Compact"/>
              <w:jc w:val="right"/>
            </w:pPr>
            <w:r>
              <w:t xml:space="preserve">21</w:t>
            </w:r>
          </w:p>
        </w:tc>
      </w:tr>
      <w:tr>
        <w:tc>
          <w:tcPr/>
          <w:p>
            <w:pPr>
              <w:pStyle w:val="Compact"/>
              <w:jc w:val="left"/>
            </w:pPr>
            <w:r>
              <w:t xml:space="preserve">Almond</w:t>
            </w:r>
          </w:p>
        </w:tc>
        <w:tc>
          <w:tcPr/>
          <w:p>
            <w:pPr>
              <w:pStyle w:val="Compact"/>
              <w:jc w:val="left"/>
            </w:pPr>
            <w:r>
              <w:t xml:space="preserve">Santomera</w:t>
            </w:r>
          </w:p>
        </w:tc>
        <w:tc>
          <w:tcPr/>
          <w:p>
            <w:pPr>
              <w:pStyle w:val="Compact"/>
              <w:jc w:val="left"/>
            </w:pPr>
            <w:r>
              <w:t xml:space="preserve">Spain</w:t>
            </w:r>
          </w:p>
        </w:tc>
        <w:tc>
          <w:tcPr/>
          <w:p>
            <w:pPr>
              <w:pStyle w:val="Compact"/>
              <w:jc w:val="left"/>
            </w:pPr>
            <w:r>
              <w:t xml:space="preserve">Marta</w:t>
            </w:r>
          </w:p>
        </w:tc>
        <w:tc>
          <w:tcPr/>
          <w:p>
            <w:pPr>
              <w:pStyle w:val="Compact"/>
              <w:jc w:val="right"/>
            </w:pPr>
            <w:r>
              <w:t xml:space="preserve">2005</w:t>
            </w:r>
          </w:p>
        </w:tc>
        <w:tc>
          <w:tcPr/>
          <w:p>
            <w:pPr>
              <w:pStyle w:val="Compact"/>
              <w:jc w:val="right"/>
            </w:pPr>
            <w:r>
              <w:t xml:space="preserve">2021</w:t>
            </w:r>
          </w:p>
        </w:tc>
        <w:tc>
          <w:tcPr/>
          <w:p>
            <w:pPr>
              <w:pStyle w:val="Compact"/>
              <w:jc w:val="right"/>
            </w:pPr>
            <w:r>
              <w:t xml:space="preserve">14</w:t>
            </w:r>
          </w:p>
        </w:tc>
      </w:tr>
      <w:tr>
        <w:tc>
          <w:tcPr/>
          <w:p>
            <w:pPr>
              <w:pStyle w:val="Compact"/>
              <w:jc w:val="left"/>
            </w:pPr>
            <w:r>
              <w:t xml:space="preserve">Almond</w:t>
            </w:r>
          </w:p>
        </w:tc>
        <w:tc>
          <w:tcPr/>
          <w:p>
            <w:pPr>
              <w:pStyle w:val="Compact"/>
              <w:jc w:val="left"/>
            </w:pPr>
            <w:r>
              <w:t xml:space="preserve">Sfax</w:t>
            </w:r>
          </w:p>
        </w:tc>
        <w:tc>
          <w:tcPr/>
          <w:p>
            <w:pPr>
              <w:pStyle w:val="Compact"/>
              <w:jc w:val="left"/>
            </w:pPr>
            <w:r>
              <w:t xml:space="preserve">Tunisia</w:t>
            </w:r>
          </w:p>
        </w:tc>
        <w:tc>
          <w:tcPr/>
          <w:p>
            <w:pPr>
              <w:pStyle w:val="Compact"/>
              <w:jc w:val="left"/>
            </w:pPr>
            <w:r>
              <w:t xml:space="preserve">Fasciuneddu</w:t>
            </w:r>
          </w:p>
        </w:tc>
        <w:tc>
          <w:tcPr/>
          <w:p>
            <w:pPr>
              <w:pStyle w:val="Compact"/>
              <w:jc w:val="right"/>
            </w:pPr>
            <w:r>
              <w:t xml:space="preserve">1981</w:t>
            </w:r>
          </w:p>
        </w:tc>
        <w:tc>
          <w:tcPr/>
          <w:p>
            <w:pPr>
              <w:pStyle w:val="Compact"/>
              <w:jc w:val="right"/>
            </w:pPr>
            <w:r>
              <w:t xml:space="preserve">2015</w:t>
            </w:r>
          </w:p>
        </w:tc>
        <w:tc>
          <w:tcPr/>
          <w:p>
            <w:pPr>
              <w:pStyle w:val="Compact"/>
              <w:jc w:val="right"/>
            </w:pPr>
            <w:r>
              <w:t xml:space="preserve">22</w:t>
            </w:r>
          </w:p>
        </w:tc>
      </w:tr>
      <w:tr>
        <w:tc>
          <w:tcPr/>
          <w:p>
            <w:pPr>
              <w:pStyle w:val="Compact"/>
              <w:jc w:val="left"/>
            </w:pPr>
            <w:r>
              <w:t xml:space="preserve">Almond</w:t>
            </w:r>
          </w:p>
        </w:tc>
        <w:tc>
          <w:tcPr/>
          <w:p>
            <w:pPr>
              <w:pStyle w:val="Compact"/>
              <w:jc w:val="left"/>
            </w:pPr>
            <w:r>
              <w:t xml:space="preserve">Sfax</w:t>
            </w:r>
          </w:p>
        </w:tc>
        <w:tc>
          <w:tcPr/>
          <w:p>
            <w:pPr>
              <w:pStyle w:val="Compact"/>
              <w:jc w:val="left"/>
            </w:pPr>
            <w:r>
              <w:t xml:space="preserve">Tunisia</w:t>
            </w:r>
          </w:p>
        </w:tc>
        <w:tc>
          <w:tcPr/>
          <w:p>
            <w:pPr>
              <w:pStyle w:val="Compact"/>
              <w:jc w:val="left"/>
            </w:pPr>
            <w:r>
              <w:t xml:space="preserve">Mazzetto</w:t>
            </w:r>
          </w:p>
        </w:tc>
        <w:tc>
          <w:tcPr/>
          <w:p>
            <w:pPr>
              <w:pStyle w:val="Compact"/>
              <w:jc w:val="right"/>
            </w:pPr>
            <w:r>
              <w:t xml:space="preserve">1981</w:t>
            </w:r>
          </w:p>
        </w:tc>
        <w:tc>
          <w:tcPr/>
          <w:p>
            <w:pPr>
              <w:pStyle w:val="Compact"/>
              <w:jc w:val="right"/>
            </w:pPr>
            <w:r>
              <w:t xml:space="preserve">2015</w:t>
            </w:r>
          </w:p>
        </w:tc>
        <w:tc>
          <w:tcPr/>
          <w:p>
            <w:pPr>
              <w:pStyle w:val="Compact"/>
              <w:jc w:val="right"/>
            </w:pPr>
            <w:r>
              <w:t xml:space="preserve">22</w:t>
            </w:r>
          </w:p>
        </w:tc>
      </w:tr>
      <w:tr>
        <w:tc>
          <w:tcPr/>
          <w:p>
            <w:pPr>
              <w:pStyle w:val="Compact"/>
              <w:jc w:val="left"/>
            </w:pPr>
            <w:r>
              <w:t xml:space="preserve">Almond</w:t>
            </w:r>
          </w:p>
        </w:tc>
        <w:tc>
          <w:tcPr/>
          <w:p>
            <w:pPr>
              <w:pStyle w:val="Compact"/>
              <w:jc w:val="left"/>
            </w:pPr>
            <w:r>
              <w:t xml:space="preserve">Sfax</w:t>
            </w:r>
          </w:p>
        </w:tc>
        <w:tc>
          <w:tcPr/>
          <w:p>
            <w:pPr>
              <w:pStyle w:val="Compact"/>
              <w:jc w:val="left"/>
            </w:pPr>
            <w:r>
              <w:t xml:space="preserve">Tunisia</w:t>
            </w:r>
          </w:p>
        </w:tc>
        <w:tc>
          <w:tcPr/>
          <w:p>
            <w:pPr>
              <w:pStyle w:val="Compact"/>
              <w:jc w:val="left"/>
            </w:pPr>
            <w:r>
              <w:t xml:space="preserve">Nonpareil</w:t>
            </w:r>
          </w:p>
        </w:tc>
        <w:tc>
          <w:tcPr/>
          <w:p>
            <w:pPr>
              <w:pStyle w:val="Compact"/>
              <w:jc w:val="right"/>
            </w:pPr>
            <w:r>
              <w:t xml:space="preserve">1981</w:t>
            </w:r>
          </w:p>
        </w:tc>
        <w:tc>
          <w:tcPr/>
          <w:p>
            <w:pPr>
              <w:pStyle w:val="Compact"/>
              <w:jc w:val="right"/>
            </w:pPr>
            <w:r>
              <w:t xml:space="preserve">2016</w:t>
            </w:r>
          </w:p>
        </w:tc>
        <w:tc>
          <w:tcPr/>
          <w:p>
            <w:pPr>
              <w:pStyle w:val="Compact"/>
              <w:jc w:val="right"/>
            </w:pPr>
            <w:r>
              <w:t xml:space="preserve">23</w:t>
            </w:r>
          </w:p>
        </w:tc>
      </w:tr>
      <w:tr>
        <w:tc>
          <w:tcPr/>
          <w:p>
            <w:pPr>
              <w:pStyle w:val="Compact"/>
              <w:jc w:val="left"/>
            </w:pPr>
            <w:r>
              <w:t xml:space="preserve">Apricot</w:t>
            </w:r>
          </w:p>
        </w:tc>
        <w:tc>
          <w:tcPr/>
          <w:p>
            <w:pPr>
              <w:pStyle w:val="Compact"/>
              <w:jc w:val="left"/>
            </w:pPr>
            <w:r>
              <w:t xml:space="preserve">Cieza</w:t>
            </w:r>
          </w:p>
        </w:tc>
        <w:tc>
          <w:tcPr/>
          <w:p>
            <w:pPr>
              <w:pStyle w:val="Compact"/>
              <w:jc w:val="left"/>
            </w:pPr>
            <w:r>
              <w:t xml:space="preserve">Spain</w:t>
            </w:r>
          </w:p>
        </w:tc>
        <w:tc>
          <w:tcPr/>
          <w:p>
            <w:pPr>
              <w:pStyle w:val="Compact"/>
              <w:jc w:val="left"/>
            </w:pPr>
            <w:r>
              <w:t xml:space="preserve">Bulida</w:t>
            </w:r>
          </w:p>
        </w:tc>
        <w:tc>
          <w:tcPr/>
          <w:p>
            <w:pPr>
              <w:pStyle w:val="Compact"/>
              <w:jc w:val="right"/>
            </w:pPr>
            <w:r>
              <w:t xml:space="preserve">2003</w:t>
            </w:r>
          </w:p>
        </w:tc>
        <w:tc>
          <w:tcPr/>
          <w:p>
            <w:pPr>
              <w:pStyle w:val="Compact"/>
              <w:jc w:val="right"/>
            </w:pPr>
            <w:r>
              <w:t xml:space="preserve">2022</w:t>
            </w:r>
          </w:p>
        </w:tc>
        <w:tc>
          <w:tcPr/>
          <w:p>
            <w:pPr>
              <w:pStyle w:val="Compact"/>
              <w:jc w:val="right"/>
            </w:pPr>
            <w:r>
              <w:t xml:space="preserve">21</w:t>
            </w:r>
          </w:p>
        </w:tc>
      </w:tr>
      <w:tr>
        <w:tc>
          <w:tcPr/>
          <w:p>
            <w:pPr>
              <w:pStyle w:val="Compact"/>
              <w:jc w:val="left"/>
            </w:pPr>
            <w:r>
              <w:t xml:space="preserve">Apricot</w:t>
            </w:r>
          </w:p>
        </w:tc>
        <w:tc>
          <w:tcPr/>
          <w:p>
            <w:pPr>
              <w:pStyle w:val="Compact"/>
              <w:jc w:val="left"/>
            </w:pPr>
            <w:r>
              <w:t xml:space="preserve">Cieza</w:t>
            </w:r>
          </w:p>
        </w:tc>
        <w:tc>
          <w:tcPr/>
          <w:p>
            <w:pPr>
              <w:pStyle w:val="Compact"/>
              <w:jc w:val="left"/>
            </w:pPr>
            <w:r>
              <w:t xml:space="preserve">Spain</w:t>
            </w:r>
          </w:p>
        </w:tc>
        <w:tc>
          <w:tcPr/>
          <w:p>
            <w:pPr>
              <w:pStyle w:val="Compact"/>
              <w:jc w:val="left"/>
            </w:pPr>
            <w:r>
              <w:t xml:space="preserve">Dorada</w:t>
            </w:r>
          </w:p>
        </w:tc>
        <w:tc>
          <w:tcPr/>
          <w:p>
            <w:pPr>
              <w:pStyle w:val="Compact"/>
              <w:jc w:val="right"/>
            </w:pPr>
            <w:r>
              <w:t xml:space="preserve">2003</w:t>
            </w:r>
          </w:p>
        </w:tc>
        <w:tc>
          <w:tcPr/>
          <w:p>
            <w:pPr>
              <w:pStyle w:val="Compact"/>
              <w:jc w:val="right"/>
            </w:pPr>
            <w:r>
              <w:t xml:space="preserve">2022</w:t>
            </w:r>
          </w:p>
        </w:tc>
        <w:tc>
          <w:tcPr/>
          <w:p>
            <w:pPr>
              <w:pStyle w:val="Compact"/>
              <w:jc w:val="right"/>
            </w:pPr>
            <w:r>
              <w:t xml:space="preserve">20</w:t>
            </w:r>
          </w:p>
        </w:tc>
      </w:tr>
      <w:tr>
        <w:tc>
          <w:tcPr/>
          <w:p>
            <w:pPr>
              <w:pStyle w:val="Compact"/>
              <w:jc w:val="left"/>
            </w:pPr>
            <w:r>
              <w:t xml:space="preserve">Apricot</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Goldrich</w:t>
            </w:r>
          </w:p>
        </w:tc>
        <w:tc>
          <w:tcPr/>
          <w:p>
            <w:pPr>
              <w:pStyle w:val="Compact"/>
              <w:jc w:val="right"/>
            </w:pPr>
            <w:r>
              <w:t xml:space="preserve">1999</w:t>
            </w:r>
          </w:p>
        </w:tc>
        <w:tc>
          <w:tcPr/>
          <w:p>
            <w:pPr>
              <w:pStyle w:val="Compact"/>
              <w:jc w:val="right"/>
            </w:pPr>
            <w:r>
              <w:t xml:space="preserve">2021</w:t>
            </w:r>
          </w:p>
        </w:tc>
        <w:tc>
          <w:tcPr/>
          <w:p>
            <w:pPr>
              <w:pStyle w:val="Compact"/>
              <w:jc w:val="right"/>
            </w:pPr>
            <w:r>
              <w:t xml:space="preserve">21</w:t>
            </w:r>
          </w:p>
        </w:tc>
      </w:tr>
      <w:tr>
        <w:tc>
          <w:tcPr/>
          <w:p>
            <w:pPr>
              <w:pStyle w:val="Compact"/>
              <w:jc w:val="left"/>
            </w:pPr>
            <w:r>
              <w:t xml:space="preserve">Apricot</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Harcot</w:t>
            </w:r>
          </w:p>
        </w:tc>
        <w:tc>
          <w:tcPr/>
          <w:p>
            <w:pPr>
              <w:pStyle w:val="Compact"/>
              <w:jc w:val="right"/>
            </w:pPr>
            <w:r>
              <w:t xml:space="preserve">1999</w:t>
            </w:r>
          </w:p>
        </w:tc>
        <w:tc>
          <w:tcPr/>
          <w:p>
            <w:pPr>
              <w:pStyle w:val="Compact"/>
              <w:jc w:val="right"/>
            </w:pPr>
            <w:r>
              <w:t xml:space="preserve">2022</w:t>
            </w:r>
          </w:p>
        </w:tc>
        <w:tc>
          <w:tcPr/>
          <w:p>
            <w:pPr>
              <w:pStyle w:val="Compact"/>
              <w:jc w:val="right"/>
            </w:pPr>
            <w:r>
              <w:t xml:space="preserve">22</w:t>
            </w:r>
          </w:p>
        </w:tc>
      </w:tr>
      <w:tr>
        <w:tc>
          <w:tcPr/>
          <w:p>
            <w:pPr>
              <w:pStyle w:val="Compact"/>
              <w:jc w:val="left"/>
            </w:pPr>
            <w:r>
              <w:t xml:space="preserve">Apricot</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Henderson</w:t>
            </w:r>
          </w:p>
        </w:tc>
        <w:tc>
          <w:tcPr/>
          <w:p>
            <w:pPr>
              <w:pStyle w:val="Compact"/>
              <w:jc w:val="right"/>
            </w:pPr>
            <w:r>
              <w:t xml:space="preserve">1999</w:t>
            </w:r>
          </w:p>
        </w:tc>
        <w:tc>
          <w:tcPr/>
          <w:p>
            <w:pPr>
              <w:pStyle w:val="Compact"/>
              <w:jc w:val="right"/>
            </w:pPr>
            <w:r>
              <w:t xml:space="preserve">2021</w:t>
            </w:r>
          </w:p>
        </w:tc>
        <w:tc>
          <w:tcPr/>
          <w:p>
            <w:pPr>
              <w:pStyle w:val="Compact"/>
              <w:jc w:val="right"/>
            </w:pPr>
            <w:r>
              <w:t xml:space="preserve">21</w:t>
            </w:r>
          </w:p>
        </w:tc>
      </w:tr>
      <w:tr>
        <w:tc>
          <w:tcPr/>
          <w:p>
            <w:pPr>
              <w:pStyle w:val="Compact"/>
              <w:jc w:val="left"/>
            </w:pPr>
            <w:r>
              <w:t xml:space="preserve">Apricot</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Sunglo</w:t>
            </w:r>
          </w:p>
        </w:tc>
        <w:tc>
          <w:tcPr/>
          <w:p>
            <w:pPr>
              <w:pStyle w:val="Compact"/>
              <w:jc w:val="right"/>
            </w:pPr>
            <w:r>
              <w:t xml:space="preserve">1999</w:t>
            </w:r>
          </w:p>
        </w:tc>
        <w:tc>
          <w:tcPr/>
          <w:p>
            <w:pPr>
              <w:pStyle w:val="Compact"/>
              <w:jc w:val="right"/>
            </w:pPr>
            <w:r>
              <w:t xml:space="preserve">2022</w:t>
            </w:r>
          </w:p>
        </w:tc>
        <w:tc>
          <w:tcPr/>
          <w:p>
            <w:pPr>
              <w:pStyle w:val="Compact"/>
              <w:jc w:val="right"/>
            </w:pPr>
            <w:r>
              <w:t xml:space="preserve">22</w:t>
            </w:r>
          </w:p>
        </w:tc>
      </w:tr>
      <w:tr>
        <w:tc>
          <w:tcPr/>
          <w:p>
            <w:pPr>
              <w:pStyle w:val="Compact"/>
              <w:jc w:val="left"/>
            </w:pPr>
            <w:r>
              <w:t xml:space="preserve">Sweet Cherry</w:t>
            </w:r>
          </w:p>
        </w:tc>
        <w:tc>
          <w:tcPr/>
          <w:p>
            <w:pPr>
              <w:pStyle w:val="Compact"/>
              <w:jc w:val="left"/>
            </w:pPr>
            <w:r>
              <w:t xml:space="preserve">Klein-Altendorf</w:t>
            </w:r>
          </w:p>
        </w:tc>
        <w:tc>
          <w:tcPr/>
          <w:p>
            <w:pPr>
              <w:pStyle w:val="Compact"/>
              <w:jc w:val="left"/>
            </w:pPr>
            <w:r>
              <w:t xml:space="preserve">Germany</w:t>
            </w:r>
          </w:p>
        </w:tc>
        <w:tc>
          <w:tcPr/>
          <w:p>
            <w:pPr>
              <w:pStyle w:val="Compact"/>
              <w:jc w:val="left"/>
            </w:pPr>
            <w:r>
              <w:t xml:space="preserve">Burlat</w:t>
            </w:r>
          </w:p>
        </w:tc>
        <w:tc>
          <w:tcPr/>
          <w:p>
            <w:pPr>
              <w:pStyle w:val="Compact"/>
              <w:jc w:val="right"/>
            </w:pPr>
            <w:r>
              <w:t xml:space="preserve">1978</w:t>
            </w:r>
          </w:p>
        </w:tc>
        <w:tc>
          <w:tcPr/>
          <w:p>
            <w:pPr>
              <w:pStyle w:val="Compact"/>
              <w:jc w:val="right"/>
            </w:pPr>
            <w:r>
              <w:t xml:space="preserve">2015</w:t>
            </w:r>
          </w:p>
        </w:tc>
        <w:tc>
          <w:tcPr/>
          <w:p>
            <w:pPr>
              <w:pStyle w:val="Compact"/>
              <w:jc w:val="right"/>
            </w:pPr>
            <w:r>
              <w:t xml:space="preserve">29</w:t>
            </w:r>
          </w:p>
        </w:tc>
      </w:tr>
      <w:tr>
        <w:tc>
          <w:tcPr/>
          <w:p>
            <w:pPr>
              <w:pStyle w:val="Compact"/>
              <w:jc w:val="left"/>
            </w:pPr>
            <w:r>
              <w:t xml:space="preserve">Sweet Cherry</w:t>
            </w:r>
          </w:p>
        </w:tc>
        <w:tc>
          <w:tcPr/>
          <w:p>
            <w:pPr>
              <w:pStyle w:val="Compact"/>
              <w:jc w:val="left"/>
            </w:pPr>
            <w:r>
              <w:t xml:space="preserve">Klein-Altendorf</w:t>
            </w:r>
          </w:p>
        </w:tc>
        <w:tc>
          <w:tcPr/>
          <w:p>
            <w:pPr>
              <w:pStyle w:val="Compact"/>
              <w:jc w:val="left"/>
            </w:pPr>
            <w:r>
              <w:t xml:space="preserve">Germany</w:t>
            </w:r>
          </w:p>
        </w:tc>
        <w:tc>
          <w:tcPr/>
          <w:p>
            <w:pPr>
              <w:pStyle w:val="Compact"/>
              <w:jc w:val="left"/>
            </w:pPr>
            <w:r>
              <w:t xml:space="preserve">Regina</w:t>
            </w:r>
          </w:p>
        </w:tc>
        <w:tc>
          <w:tcPr/>
          <w:p>
            <w:pPr>
              <w:pStyle w:val="Compact"/>
              <w:jc w:val="right"/>
            </w:pPr>
            <w:r>
              <w:t xml:space="preserve">1988</w:t>
            </w:r>
          </w:p>
        </w:tc>
        <w:tc>
          <w:tcPr/>
          <w:p>
            <w:pPr>
              <w:pStyle w:val="Compact"/>
              <w:jc w:val="right"/>
            </w:pPr>
            <w:r>
              <w:t xml:space="preserve">2020</w:t>
            </w:r>
          </w:p>
        </w:tc>
        <w:tc>
          <w:tcPr/>
          <w:p>
            <w:pPr>
              <w:pStyle w:val="Compact"/>
              <w:jc w:val="right"/>
            </w:pPr>
            <w:r>
              <w:t xml:space="preserve">32</w:t>
            </w:r>
          </w:p>
        </w:tc>
      </w:tr>
      <w:tr>
        <w:tc>
          <w:tcPr/>
          <w:p>
            <w:pPr>
              <w:pStyle w:val="Compact"/>
              <w:jc w:val="left"/>
            </w:pPr>
            <w:r>
              <w:t xml:space="preserve">Sweet Cherry</w:t>
            </w:r>
          </w:p>
        </w:tc>
        <w:tc>
          <w:tcPr/>
          <w:p>
            <w:pPr>
              <w:pStyle w:val="Compact"/>
              <w:jc w:val="left"/>
            </w:pPr>
            <w:r>
              <w:t xml:space="preserve">Klein-Altendorf</w:t>
            </w:r>
          </w:p>
        </w:tc>
        <w:tc>
          <w:tcPr/>
          <w:p>
            <w:pPr>
              <w:pStyle w:val="Compact"/>
              <w:jc w:val="left"/>
            </w:pPr>
            <w:r>
              <w:t xml:space="preserve">Germany</w:t>
            </w:r>
          </w:p>
        </w:tc>
        <w:tc>
          <w:tcPr/>
          <w:p>
            <w:pPr>
              <w:pStyle w:val="Compact"/>
              <w:jc w:val="left"/>
            </w:pPr>
            <w:r>
              <w:t xml:space="preserve">Schneiders</w:t>
            </w:r>
          </w:p>
        </w:tc>
        <w:tc>
          <w:tcPr/>
          <w:p>
            <w:pPr>
              <w:pStyle w:val="Compact"/>
              <w:jc w:val="right"/>
            </w:pPr>
            <w:r>
              <w:t xml:space="preserve">1984</w:t>
            </w:r>
          </w:p>
        </w:tc>
        <w:tc>
          <w:tcPr/>
          <w:p>
            <w:pPr>
              <w:pStyle w:val="Compact"/>
              <w:jc w:val="right"/>
            </w:pPr>
            <w:r>
              <w:t xml:space="preserve">2019</w:t>
            </w:r>
          </w:p>
        </w:tc>
        <w:tc>
          <w:tcPr/>
          <w:p>
            <w:pPr>
              <w:pStyle w:val="Compact"/>
              <w:jc w:val="right"/>
            </w:pPr>
            <w:r>
              <w:t xml:space="preserve">32</w:t>
            </w:r>
          </w:p>
        </w:tc>
      </w:tr>
      <w:tr>
        <w:tc>
          <w:tcPr/>
          <w:p>
            <w:pPr>
              <w:pStyle w:val="Compact"/>
              <w:jc w:val="left"/>
            </w:pPr>
            <w:r>
              <w:t xml:space="preserve">Sweet Cherry</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Rainier</w:t>
            </w:r>
          </w:p>
        </w:tc>
        <w:tc>
          <w:tcPr/>
          <w:p>
            <w:pPr>
              <w:pStyle w:val="Compact"/>
              <w:jc w:val="right"/>
            </w:pPr>
            <w:r>
              <w:t xml:space="preserve">1991</w:t>
            </w:r>
          </w:p>
        </w:tc>
        <w:tc>
          <w:tcPr/>
          <w:p>
            <w:pPr>
              <w:pStyle w:val="Compact"/>
              <w:jc w:val="right"/>
            </w:pPr>
            <w:r>
              <w:t xml:space="preserve">2022</w:t>
            </w:r>
          </w:p>
        </w:tc>
        <w:tc>
          <w:tcPr/>
          <w:p>
            <w:pPr>
              <w:pStyle w:val="Compact"/>
              <w:jc w:val="right"/>
            </w:pPr>
            <w:r>
              <w:t xml:space="preserve">24</w:t>
            </w:r>
          </w:p>
        </w:tc>
      </w:tr>
      <w:tr>
        <w:tc>
          <w:tcPr/>
          <w:p>
            <w:pPr>
              <w:pStyle w:val="Compact"/>
              <w:jc w:val="left"/>
            </w:pPr>
            <w:r>
              <w:t xml:space="preserve">Sweet Cherry</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Sam</w:t>
            </w:r>
          </w:p>
        </w:tc>
        <w:tc>
          <w:tcPr/>
          <w:p>
            <w:pPr>
              <w:pStyle w:val="Compact"/>
              <w:jc w:val="right"/>
            </w:pPr>
            <w:r>
              <w:t xml:space="preserve">1991</w:t>
            </w:r>
          </w:p>
        </w:tc>
        <w:tc>
          <w:tcPr/>
          <w:p>
            <w:pPr>
              <w:pStyle w:val="Compact"/>
              <w:jc w:val="right"/>
            </w:pPr>
            <w:r>
              <w:t xml:space="preserve">2022</w:t>
            </w:r>
          </w:p>
        </w:tc>
        <w:tc>
          <w:tcPr/>
          <w:p>
            <w:pPr>
              <w:pStyle w:val="Compact"/>
              <w:jc w:val="right"/>
            </w:pPr>
            <w:r>
              <w:t xml:space="preserve">24</w:t>
            </w:r>
          </w:p>
        </w:tc>
      </w:tr>
      <w:tr>
        <w:tc>
          <w:tcPr/>
          <w:p>
            <w:pPr>
              <w:pStyle w:val="Compact"/>
              <w:jc w:val="left"/>
            </w:pPr>
            <w:r>
              <w:t xml:space="preserve">Sweet Cherry</w:t>
            </w:r>
          </w:p>
        </w:tc>
        <w:tc>
          <w:tcPr/>
          <w:p>
            <w:pPr>
              <w:pStyle w:val="Compact"/>
              <w:jc w:val="left"/>
            </w:pPr>
            <w:r>
              <w:t xml:space="preserve">Zaragoza</w:t>
            </w:r>
          </w:p>
        </w:tc>
        <w:tc>
          <w:tcPr/>
          <w:p>
            <w:pPr>
              <w:pStyle w:val="Compact"/>
              <w:jc w:val="left"/>
            </w:pPr>
            <w:r>
              <w:t xml:space="preserve">Spain</w:t>
            </w:r>
          </w:p>
        </w:tc>
        <w:tc>
          <w:tcPr/>
          <w:p>
            <w:pPr>
              <w:pStyle w:val="Compact"/>
              <w:jc w:val="left"/>
            </w:pPr>
            <w:r>
              <w:t xml:space="preserve">Van</w:t>
            </w:r>
          </w:p>
        </w:tc>
        <w:tc>
          <w:tcPr/>
          <w:p>
            <w:pPr>
              <w:pStyle w:val="Compact"/>
              <w:jc w:val="right"/>
            </w:pPr>
            <w:r>
              <w:t xml:space="preserve">1991</w:t>
            </w:r>
          </w:p>
        </w:tc>
        <w:tc>
          <w:tcPr/>
          <w:p>
            <w:pPr>
              <w:pStyle w:val="Compact"/>
              <w:jc w:val="right"/>
            </w:pPr>
            <w:r>
              <w:t xml:space="preserve">2022</w:t>
            </w:r>
          </w:p>
        </w:tc>
        <w:tc>
          <w:tcPr/>
          <w:p>
            <w:pPr>
              <w:pStyle w:val="Compact"/>
              <w:jc w:val="right"/>
            </w:pPr>
            <w:r>
              <w:t xml:space="preserve">24</w:t>
            </w:r>
          </w:p>
        </w:tc>
      </w:tr>
    </w:tbl>
    <w:p>
      <w:pPr>
        <w:pStyle w:val="BodyText"/>
      </w:pPr>
      <w:r>
        <w:rPr>
          <w:vertAlign w:val="subscript"/>
        </w:rPr>
        <w:t xml:space="preserve">Source:</w:t>
      </w:r>
      <w:r>
        <w:rPr>
          <w:vertAlign w:val="subscript"/>
        </w:rPr>
        <w:t xml:space="preserve"> </w:t>
      </w:r>
      <w:hyperlink r:id="rId21">
        <w:r>
          <w:rPr>
            <w:rStyle w:val="Hyperlink"/>
            <w:vertAlign w:val="subscript"/>
          </w:rPr>
          <w:t xml:space="preserve">Article Notebook</w:t>
        </w:r>
      </w:hyperlink>
    </w:p>
    <w:bookmarkEnd w:id="22"/>
    <w:bookmarkStart w:id="26" w:name="supplementary-figure"/>
    <w:p>
      <w:pPr>
        <w:pStyle w:val="Heading2"/>
      </w:pPr>
      <w:r>
        <w:t xml:space="preserve">3 Supplementary Figure</w:t>
      </w:r>
    </w:p>
    <w:p>
      <w:pPr>
        <w:pStyle w:val="CaptionedFigure"/>
      </w:pPr>
      <w:r>
        <w:drawing>
          <wp:inline>
            <wp:extent cx="3810000" cy="2540000"/>
            <wp:effectExtent b="0" l="0" r="0" t="0"/>
            <wp:docPr descr="Root Mean Square Error (RMSE, days) of predicted bloom dates for each species (almond, apricot, sweet cherry) and cultivar (indicated at the x-axis). Boxplot summarizes RMSE for calibration and validation split and for ‘scarce’ and ‘full’ calibration sets. Calibration methods are indicated by color, green for ‘Baseline Model’, yellow for ‘Cultivar-Fit’ and blue for ‘Combined-Fit’." title="" id="24" name="Picture"/>
            <a:graphic>
              <a:graphicData uri="http://schemas.openxmlformats.org/drawingml/2006/picture">
                <pic:pic>
                  <pic:nvPicPr>
                    <pic:cNvPr descr="images/rmse_slim_bycultivar.jpeg" id="25" name="Picture"/>
                    <pic:cNvPicPr>
                      <a:picLocks noChangeArrowheads="1" noChangeAspect="1"/>
                    </pic:cNvPicPr>
                  </pic:nvPicPr>
                  <pic:blipFill>
                    <a:blip r:embed="rId2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Root Mean Square Error (RMSE, days) of predicted bloom dates for each species (almond, apricot, sweet cherry) and cultivar (indicated at the x-axis). Boxplot summarizes RMSE for calibration and validation split and for</w:t>
      </w:r>
      <w:r>
        <w:t xml:space="preserve"> </w:t>
      </w:r>
      <w:r>
        <w:t xml:space="preserve">‘scarce’</w:t>
      </w:r>
      <w:r>
        <w:t xml:space="preserve"> </w:t>
      </w:r>
      <w:r>
        <w:t xml:space="preserve">and</w:t>
      </w:r>
      <w:r>
        <w:t xml:space="preserve"> </w:t>
      </w:r>
      <w:r>
        <w:t xml:space="preserve">‘full’</w:t>
      </w:r>
      <w:r>
        <w:t xml:space="preserve"> </w:t>
      </w:r>
      <w:r>
        <w:t xml:space="preserve">calibration sets. Calibration methods are indicated by color, green for</w:t>
      </w:r>
      <w:r>
        <w:t xml:space="preserve"> </w:t>
      </w:r>
      <w:r>
        <w:t xml:space="preserve">‘Baseline Model’</w:t>
      </w:r>
      <w:r>
        <w:t xml:space="preserve">, yellow for</w:t>
      </w:r>
      <w:r>
        <w:t xml:space="preserve"> </w:t>
      </w:r>
      <w:r>
        <w:t xml:space="preserve">‘Cultivar-Fit’</w:t>
      </w:r>
      <w:r>
        <w:t xml:space="preserve"> </w:t>
      </w:r>
      <w:r>
        <w:t xml:space="preserve">and blue for</w:t>
      </w:r>
      <w:r>
        <w:t xml:space="preserve"> </w:t>
      </w:r>
      <w:r>
        <w:t xml:space="preserve">‘Combined-Fit’</w:t>
      </w:r>
      <w:r>
        <w:t xml:space="preserve">.</w:t>
      </w:r>
    </w:p>
    <w:bookmarkEnd w:id="26"/>
    <w:bookmarkStart w:id="35" w:name="supplementary-code"/>
    <w:p>
      <w:pPr>
        <w:pStyle w:val="Heading2"/>
      </w:pPr>
      <w:r>
        <w:t xml:space="preserve">4 Supplementary Code</w:t>
      </w:r>
    </w:p>
    <w:bookmarkStart w:id="28" w:name="data-splitting"/>
    <w:p>
      <w:pPr>
        <w:pStyle w:val="Heading3"/>
      </w:pPr>
      <w:r>
        <w:t xml:space="preserve">4.1 Data splitting</w:t>
      </w:r>
    </w:p>
    <w:p>
      <w:pPr>
        <w:pStyle w:val="FirstParagraph"/>
      </w:pPr>
      <w:r>
        <w:t xml:space="preserve">This notebook shows the preparation of the phenology data. Performs calibration and validation data splits. Check out the notebook for more details:</w:t>
      </w:r>
    </w:p>
    <w:p>
      <w:pPr>
        <w:pStyle w:val="BodyText"/>
      </w:pPr>
      <w:hyperlink r:id="rId27">
        <w:r>
          <w:rPr>
            <w:rStyle w:val="Hyperlink"/>
          </w:rPr>
          <w:t xml:space="preserve">Split data in calibration and validation</w:t>
        </w:r>
      </w:hyperlink>
    </w:p>
    <w:bookmarkEnd w:id="28"/>
    <w:bookmarkStart w:id="32" w:name="model-calibration"/>
    <w:p>
      <w:pPr>
        <w:pStyle w:val="Heading3"/>
      </w:pPr>
      <w:r>
        <w:t xml:space="preserve">4.2 Model Calibration</w:t>
      </w:r>
    </w:p>
    <w:p>
      <w:pPr>
        <w:pStyle w:val="FirstParagraph"/>
      </w:pPr>
      <w:r>
        <w:t xml:space="preserve">When calibrating the model, we specified the search space for each model parameter. We substituted the model parameters E</w:t>
      </w:r>
      <w:r>
        <w:rPr>
          <w:vertAlign w:val="subscript"/>
        </w:rPr>
        <w:t xml:space="preserve">0</w:t>
      </w:r>
      <w:r>
        <w:t xml:space="preserve">, E</w:t>
      </w:r>
      <w:r>
        <w:rPr>
          <w:vertAlign w:val="subscript"/>
        </w:rPr>
        <w:t xml:space="preserve">1</w:t>
      </w:r>
      <w:r>
        <w:t xml:space="preserve">, A</w:t>
      </w:r>
      <w:r>
        <w:rPr>
          <w:vertAlign w:val="subscript"/>
        </w:rPr>
        <w:t xml:space="preserve">0</w:t>
      </w:r>
      <w:r>
        <w:t xml:space="preserve"> </w:t>
      </w:r>
      <w:r>
        <w:t xml:space="preserve">and A</w:t>
      </w:r>
      <w:r>
        <w:rPr>
          <w:vertAlign w:val="subscript"/>
        </w:rPr>
        <w:t xml:space="preserve">1</w:t>
      </w:r>
      <w:r>
        <w:t xml:space="preserve"> </w:t>
      </w:r>
      <w:r>
        <w:t xml:space="preserve">of the chill submodel with intermediate parameters</w:t>
      </w:r>
      <w:r>
        <w:t xml:space="preserve"> </w:t>
      </w:r>
      <m:oMath>
        <m:sSup>
          <m:e>
            <m:r>
              <m:t>θ</m:t>
            </m:r>
          </m:e>
          <m:sup>
            <m:r>
              <m:rPr>
                <m:sty m:val="p"/>
              </m:rPr>
              <m:t>*</m:t>
            </m:r>
          </m:sup>
        </m:sSup>
      </m:oMath>
      <w:r>
        <w:t xml:space="preserve"> </w:t>
      </w:r>
      <w:r>
        <w:t xml:space="preserve">,</w:t>
      </w:r>
      <w:r>
        <w:t xml:space="preserve"> </w:t>
      </w:r>
      <m:oMath>
        <m:sSub>
          <m:e>
            <m:r>
              <m:t>θ</m:t>
            </m:r>
          </m:e>
          <m:sub>
            <m:r>
              <m:t>c</m:t>
            </m:r>
          </m:sub>
        </m:sSub>
      </m:oMath>
      <w:r>
        <w:t xml:space="preserve"> </w:t>
      </w:r>
      <w:r>
        <w:t xml:space="preserve">,</w:t>
      </w:r>
      <w:r>
        <w:t xml:space="preserve"> </w:t>
      </w:r>
      <m:oMath>
        <m:sSub>
          <m:e>
            <m:r>
              <m:t>π</m:t>
            </m:r>
          </m:e>
          <m:sub>
            <m:r>
              <m:t>c</m:t>
            </m:r>
          </m:sub>
        </m:sSub>
      </m:oMath>
      <w:r>
        <w:t xml:space="preserve"> </w:t>
      </w:r>
      <w:r>
        <w:t xml:space="preserve">and</w:t>
      </w:r>
      <w:r>
        <w:t xml:space="preserve"> </w:t>
      </w:r>
      <m:oMath>
        <m:r>
          <m:t>τ</m:t>
        </m:r>
      </m:oMath>
      <w:r>
        <w:t xml:space="preserve"> </w:t>
      </w:r>
      <w:r>
        <w:t xml:space="preserve">, following</w:t>
      </w:r>
      <w:r>
        <w:t xml:space="preserve"> </w:t>
      </w:r>
      <w:r>
        <w:t xml:space="preserve">Egea et al. (2021)</w:t>
      </w:r>
      <w:r>
        <w:t xml:space="preserve"> </w:t>
      </w:r>
      <w:r>
        <w:t xml:space="preserve">and implemented for PhenoFlex by</w:t>
      </w:r>
      <w:r>
        <w:t xml:space="preserve"> </w:t>
      </w:r>
      <w:r>
        <w:t xml:space="preserve">Caspersen et al. (2024)</w:t>
      </w:r>
      <w:r>
        <w:t xml:space="preserve">. Additionally, we restricted parameters, so that the</w:t>
      </w:r>
      <w:r>
        <w:t xml:space="preserve"> </w:t>
      </w:r>
      <w:r>
        <w:rPr>
          <w:rStyle w:val="VerbatimChar"/>
        </w:rPr>
        <w:t xml:space="preserve">E10</w:t>
      </w:r>
      <w:r>
        <w:t xml:space="preserve"> </w:t>
      </w:r>
      <w:r>
        <w:t xml:space="preserve">quotient of the process modeling chill formation and degradation ranges between 1.5 and 3.5, a range said to be realistic in biological systems</w:t>
      </w:r>
      <w:r>
        <w:t xml:space="preserve"> </w:t>
      </w:r>
      <w:r>
        <w:t xml:space="preserve">(Egea et al., 2021; Luedeling et al., 2021)</w:t>
      </w:r>
      <w:r>
        <w:t xml:space="preserve">. During model calibration, the optimization algorithm ran for 5,000 iterations for baseline model; 30,000 evaluations for single-fit; 50,000 evaluations for combined fit. We chose different total number of evaluations for the calibration methods, to account for varying number of model parameters estimated during each individual calibration step. The optimization algorithm estimates model parameters by minimizing the residual sum of squares (RSS) of predicted and observed bloom dates. In a pre-trial we confirmed that by the end of the total number of model evaluations the RSS converged, indicating that the algorithm fails to find parameters providing better model performance.</w:t>
      </w:r>
    </w:p>
    <w:p>
      <w:pPr>
        <w:pStyle w:val="BodyText"/>
      </w:pPr>
      <w:r>
        <w:t xml:space="preserve">These three notebooks perform the model calibration. The notebook for almond calibration has also some more comments on the different procedures. The notebooks for apricot and sweet cherry only contain the uncommented code.</w:t>
      </w:r>
    </w:p>
    <w:p>
      <w:pPr>
        <w:numPr>
          <w:ilvl w:val="0"/>
          <w:numId w:val="1001"/>
        </w:numPr>
      </w:pPr>
      <w:hyperlink r:id="rId29">
        <w:r>
          <w:rPr>
            <w:rStyle w:val="Hyperlink"/>
          </w:rPr>
          <w:t xml:space="preserve">Almond calibration</w:t>
        </w:r>
      </w:hyperlink>
    </w:p>
    <w:p>
      <w:pPr>
        <w:numPr>
          <w:ilvl w:val="0"/>
          <w:numId w:val="1001"/>
        </w:numPr>
      </w:pPr>
      <w:hyperlink r:id="rId30">
        <w:r>
          <w:rPr>
            <w:rStyle w:val="Hyperlink"/>
          </w:rPr>
          <w:t xml:space="preserve">Apricot calibration</w:t>
        </w:r>
      </w:hyperlink>
    </w:p>
    <w:p>
      <w:pPr>
        <w:numPr>
          <w:ilvl w:val="0"/>
          <w:numId w:val="1001"/>
        </w:numPr>
      </w:pPr>
      <w:hyperlink r:id="rId31">
        <w:r>
          <w:rPr>
            <w:rStyle w:val="Hyperlink"/>
          </w:rPr>
          <w:t xml:space="preserve">Sweet Cherry calibration</w:t>
        </w:r>
      </w:hyperlink>
    </w:p>
    <w:bookmarkEnd w:id="32"/>
    <w:bookmarkStart w:id="34" w:name="model-evaluation"/>
    <w:p>
      <w:pPr>
        <w:pStyle w:val="Heading3"/>
      </w:pPr>
      <w:r>
        <w:t xml:space="preserve">4.3 Model Evaluation</w:t>
      </w:r>
    </w:p>
    <w:p>
      <w:pPr>
        <w:pStyle w:val="FirstParagraph"/>
      </w:pPr>
      <w:r>
        <w:t xml:space="preserve">This code shows how the calibrated models are evaluated. This script generates figures and tables for the manuscript.</w:t>
      </w:r>
    </w:p>
    <w:p>
      <w:pPr>
        <w:pStyle w:val="BodyText"/>
      </w:pPr>
      <w:hyperlink r:id="rId33">
        <w:r>
          <w:rPr>
            <w:rStyle w:val="Hyperlink"/>
          </w:rPr>
          <w:t xml:space="preserve">Generate figures for the manuscript</w:t>
        </w:r>
      </w:hyperlink>
    </w:p>
    <w:bookmarkEnd w:id="34"/>
    <w:bookmarkEnd w:id="35"/>
    <w:bookmarkStart w:id="53" w:name="references"/>
    <w:p>
      <w:pPr>
        <w:pStyle w:val="Heading2"/>
      </w:pPr>
      <w:r>
        <w:t xml:space="preserve">References</w:t>
      </w:r>
    </w:p>
    <w:bookmarkStart w:id="52" w:name="refs"/>
    <w:bookmarkStart w:id="37" w:name="ref-caspersen_evalpheno_2025"/>
    <w:p>
      <w:pPr>
        <w:pStyle w:val="Bibliography"/>
      </w:pPr>
      <w:r>
        <w:t xml:space="preserve">Caspersen, L. (2025a).</w:t>
      </w:r>
      <w:r>
        <w:t xml:space="preserve"> </w:t>
      </w:r>
      <w:r>
        <w:rPr>
          <w:i/>
          <w:iCs/>
        </w:rPr>
        <w:t xml:space="preserve">Evalpheno:</w:t>
      </w:r>
      <w:r>
        <w:rPr>
          <w:i/>
          <w:iCs/>
        </w:rPr>
        <w:t xml:space="preserve"> </w:t>
      </w:r>
      <w:r>
        <w:rPr>
          <w:i/>
          <w:iCs/>
        </w:rPr>
        <w:t xml:space="preserve">Wrapper</w:t>
      </w:r>
      <w:r>
        <w:rPr>
          <w:i/>
          <w:iCs/>
        </w:rPr>
        <w:t xml:space="preserve"> </w:t>
      </w:r>
      <w:r>
        <w:rPr>
          <w:i/>
          <w:iCs/>
        </w:rPr>
        <w:t xml:space="preserve">functions to customize calibration of the</w:t>
      </w:r>
      <w:r>
        <w:rPr>
          <w:i/>
          <w:iCs/>
        </w:rPr>
        <w:t xml:space="preserve"> </w:t>
      </w:r>
      <w:r>
        <w:rPr>
          <w:i/>
          <w:iCs/>
        </w:rPr>
        <w:t xml:space="preserve">PhenoFlex</w:t>
      </w:r>
      <w:r>
        <w:rPr>
          <w:i/>
          <w:iCs/>
        </w:rPr>
        <w:t xml:space="preserve"> </w:t>
      </w:r>
      <w:r>
        <w:rPr>
          <w:i/>
          <w:iCs/>
        </w:rPr>
        <w:t xml:space="preserve">phenology model</w:t>
      </w:r>
      <w:r>
        <w:t xml:space="preserve">. Zenodo.</w:t>
      </w:r>
      <w:r>
        <w:t xml:space="preserve"> </w:t>
      </w:r>
      <w:hyperlink r:id="rId36">
        <w:r>
          <w:rPr>
            <w:rStyle w:val="Hyperlink"/>
          </w:rPr>
          <w:t xml:space="preserve">https://zenodo.org/doi/10.5281/zenodo.15174551</w:t>
        </w:r>
      </w:hyperlink>
    </w:p>
    <w:bookmarkEnd w:id="37"/>
    <w:bookmarkStart w:id="39" w:name="ref-caspersen_larschill_2025"/>
    <w:p>
      <w:pPr>
        <w:pStyle w:val="Bibliography"/>
      </w:pPr>
      <w:r>
        <w:t xml:space="preserve">Caspersen, L. (2025b).</w:t>
      </w:r>
      <w:r>
        <w:t xml:space="preserve"> </w:t>
      </w:r>
      <w:r>
        <w:rPr>
          <w:i/>
          <w:iCs/>
        </w:rPr>
        <w:t xml:space="preserve">LarsChill</w:t>
      </w:r>
      <w:r>
        <w:rPr>
          <w:i/>
          <w:iCs/>
        </w:rPr>
        <w:t xml:space="preserve">:</w:t>
      </w:r>
      <w:r>
        <w:rPr>
          <w:i/>
          <w:iCs/>
        </w:rPr>
        <w:t xml:space="preserve"> </w:t>
      </w:r>
      <w:r>
        <w:rPr>
          <w:i/>
          <w:iCs/>
        </w:rPr>
        <w:t xml:space="preserve">Supplementary</w:t>
      </w:r>
      <w:r>
        <w:rPr>
          <w:i/>
          <w:iCs/>
        </w:rPr>
        <w:t xml:space="preserve"> </w:t>
      </w:r>
      <w:r>
        <w:rPr>
          <w:i/>
          <w:iCs/>
        </w:rPr>
        <w:t xml:space="preserve">functions to the dormancy and phenology</w:t>
      </w:r>
      <w:r>
        <w:rPr>
          <w:i/>
          <w:iCs/>
        </w:rPr>
        <w:t xml:space="preserve"> </w:t>
      </w:r>
      <w:r>
        <w:rPr>
          <w:i/>
          <w:iCs/>
        </w:rPr>
        <w:t xml:space="preserve">R</w:t>
      </w:r>
      <w:r>
        <w:rPr>
          <w:i/>
          <w:iCs/>
        </w:rPr>
        <w:t xml:space="preserve">-package</w:t>
      </w:r>
      <w:r>
        <w:rPr>
          <w:i/>
          <w:iCs/>
        </w:rPr>
        <w:t xml:space="preserve"> </w:t>
      </w:r>
      <w:r>
        <w:rPr>
          <w:i/>
          <w:iCs/>
        </w:rPr>
        <w:t xml:space="preserve">chillR</w:t>
      </w:r>
      <w:r>
        <w:t xml:space="preserve">. Zenodo.</w:t>
      </w:r>
      <w:r>
        <w:t xml:space="preserve"> </w:t>
      </w:r>
      <w:hyperlink r:id="rId38">
        <w:r>
          <w:rPr>
            <w:rStyle w:val="Hyperlink"/>
          </w:rPr>
          <w:t xml:space="preserve">https://zenodo.org/doi/10.5281/zenodo.15174333</w:t>
        </w:r>
      </w:hyperlink>
    </w:p>
    <w:bookmarkEnd w:id="39"/>
    <w:bookmarkStart w:id="41" w:name="ref-caspersen2024"/>
    <w:p>
      <w:pPr>
        <w:pStyle w:val="Bibliography"/>
      </w:pPr>
      <w:r>
        <w:t xml:space="preserve">Caspersen, L., Jarvis-Shean, Katherine., &amp; Luedeling, E. (2024). Projecting almond bloom dates in California with the PhenoFlex framework.</w:t>
      </w:r>
      <w:r>
        <w:t xml:space="preserve"> </w:t>
      </w:r>
      <w:r>
        <w:rPr>
          <w:i/>
          <w:iCs/>
        </w:rPr>
        <w:t xml:space="preserve">Acta Horticulturae</w:t>
      </w:r>
      <w:r>
        <w:t xml:space="preserve">,</w:t>
      </w:r>
      <w:r>
        <w:t xml:space="preserve"> </w:t>
      </w:r>
      <w:r>
        <w:rPr>
          <w:i/>
          <w:iCs/>
        </w:rPr>
        <w:t xml:space="preserve">1406</w:t>
      </w:r>
      <w:r>
        <w:t xml:space="preserve">, 455–464.</w:t>
      </w:r>
      <w:r>
        <w:t xml:space="preserve"> </w:t>
      </w:r>
      <w:hyperlink r:id="rId40">
        <w:r>
          <w:rPr>
            <w:rStyle w:val="Hyperlink"/>
          </w:rPr>
          <w:t xml:space="preserve">https://doi.org/10.17660/ActaHortic.2024.1406.64</w:t>
        </w:r>
      </w:hyperlink>
    </w:p>
    <w:bookmarkEnd w:id="41"/>
    <w:bookmarkStart w:id="43" w:name="ref-caspersen_contrasting_2025"/>
    <w:p>
      <w:pPr>
        <w:pStyle w:val="Bibliography"/>
      </w:pPr>
      <w:r>
        <w:t xml:space="preserve">Caspersen, L., Schiffers, K., Picornell, A., Egea, J. A., Delgado, A., El Yaacoubi, A., Benmoussa, H., Rodrigo, J., Fadón, E., Ben Mimoun, M., Ghrab, M., Kodad, O., Ruiz, D., &amp; Luedeling, E. (2025). Contrasting</w:t>
      </w:r>
      <w:r>
        <w:t xml:space="preserve"> </w:t>
      </w:r>
      <w:r>
        <w:t xml:space="preserve">Responses</w:t>
      </w:r>
      <w:r>
        <w:t xml:space="preserve"> </w:t>
      </w:r>
      <w:r>
        <w:t xml:space="preserve">to</w:t>
      </w:r>
      <w:r>
        <w:t xml:space="preserve"> </w:t>
      </w:r>
      <w:r>
        <w:t xml:space="preserve">Climate</w:t>
      </w:r>
      <w:r>
        <w:t xml:space="preserve"> </w:t>
      </w:r>
      <w:r>
        <w:t xml:space="preserve">Change</w:t>
      </w:r>
      <w:r>
        <w:t xml:space="preserve"> </w:t>
      </w:r>
      <w:r>
        <w:t xml:space="preserve">–</w:t>
      </w:r>
      <w:r>
        <w:t xml:space="preserve"> </w:t>
      </w:r>
      <w:r>
        <w:t xml:space="preserve">Predicting</w:t>
      </w:r>
      <w:r>
        <w:t xml:space="preserve"> </w:t>
      </w:r>
      <w:r>
        <w:t xml:space="preserve">Bloom</w:t>
      </w:r>
      <w:r>
        <w:t xml:space="preserve"> </w:t>
      </w:r>
      <w:r>
        <w:t xml:space="preserve">of</w:t>
      </w:r>
      <w:r>
        <w:t xml:space="preserve"> </w:t>
      </w:r>
      <w:r>
        <w:t xml:space="preserve">Major</w:t>
      </w:r>
      <w:r>
        <w:t xml:space="preserve"> </w:t>
      </w:r>
      <w:r>
        <w:t xml:space="preserve">Temperate</w:t>
      </w:r>
      <w:r>
        <w:t xml:space="preserve"> </w:t>
      </w:r>
      <w:r>
        <w:t xml:space="preserve">Fruit</w:t>
      </w:r>
      <w:r>
        <w:t xml:space="preserve"> </w:t>
      </w:r>
      <w:r>
        <w:t xml:space="preserve">Tree</w:t>
      </w:r>
      <w:r>
        <w:t xml:space="preserve"> </w:t>
      </w:r>
      <w:r>
        <w:t xml:space="preserve">Species</w:t>
      </w:r>
      <w:r>
        <w:t xml:space="preserve"> </w:t>
      </w:r>
      <w:r>
        <w:t xml:space="preserve">in the</w:t>
      </w:r>
      <w:r>
        <w:t xml:space="preserve"> </w:t>
      </w:r>
      <w:r>
        <w:t xml:space="preserve">Mediterranean</w:t>
      </w:r>
      <w:r>
        <w:t xml:space="preserve"> </w:t>
      </w:r>
      <w:r>
        <w:t xml:space="preserve">Region</w:t>
      </w:r>
      <w:r>
        <w:t xml:space="preserve"> </w:t>
      </w:r>
      <w:r>
        <w:t xml:space="preserve">and</w:t>
      </w:r>
      <w:r>
        <w:t xml:space="preserve"> </w:t>
      </w:r>
      <w:r>
        <w:t xml:space="preserve">Central</w:t>
      </w:r>
      <w:r>
        <w:t xml:space="preserve"> </w:t>
      </w:r>
      <w:r>
        <w:t xml:space="preserve">Europe</w:t>
      </w:r>
      <w:r>
        <w:t xml:space="preserve">.</w:t>
      </w:r>
      <w:r>
        <w:t xml:space="preserve"> </w:t>
      </w:r>
      <w:r>
        <w:rPr>
          <w:i/>
          <w:iCs/>
        </w:rPr>
        <w:t xml:space="preserve">Agricultural and Forest Meteorology</w:t>
      </w:r>
      <w:r>
        <w:t xml:space="preserve">,</w:t>
      </w:r>
      <w:r>
        <w:t xml:space="preserve"> </w:t>
      </w:r>
      <w:r>
        <w:rPr>
          <w:i/>
          <w:iCs/>
        </w:rPr>
        <w:t xml:space="preserve">375</w:t>
      </w:r>
      <w:r>
        <w:t xml:space="preserve">, 110859.</w:t>
      </w:r>
      <w:r>
        <w:t xml:space="preserve"> </w:t>
      </w:r>
      <w:hyperlink r:id="rId42">
        <w:r>
          <w:rPr>
            <w:rStyle w:val="Hyperlink"/>
          </w:rPr>
          <w:t xml:space="preserve">https://doi.org/10.1016/j.agrformet.2025.110859</w:t>
        </w:r>
      </w:hyperlink>
    </w:p>
    <w:bookmarkEnd w:id="43"/>
    <w:bookmarkStart w:id="45" w:name="ref-egea_reducing_2021"/>
    <w:p>
      <w:pPr>
        <w:pStyle w:val="Bibliography"/>
      </w:pPr>
      <w:r>
        <w:t xml:space="preserve">Egea, J. A., Egea, J., &amp; Ruiz, D. (2021). Reducing the uncertainty on chilling requirements for endodormancy breaking of temperate fruits by data-based parameter estimation of the dynamic model: A test case in apricot.</w:t>
      </w:r>
      <w:r>
        <w:t xml:space="preserve"> </w:t>
      </w:r>
      <w:r>
        <w:rPr>
          <w:i/>
          <w:iCs/>
        </w:rPr>
        <w:t xml:space="preserve">Tree Physiology</w:t>
      </w:r>
      <w:r>
        <w:t xml:space="preserve">,</w:t>
      </w:r>
      <w:r>
        <w:t xml:space="preserve"> </w:t>
      </w:r>
      <w:r>
        <w:rPr>
          <w:i/>
          <w:iCs/>
        </w:rPr>
        <w:t xml:space="preserve">41</w:t>
      </w:r>
      <w:r>
        <w:t xml:space="preserve">(4), 644–656.</w:t>
      </w:r>
      <w:r>
        <w:t xml:space="preserve"> </w:t>
      </w:r>
      <w:hyperlink r:id="rId44">
        <w:r>
          <w:rPr>
            <w:rStyle w:val="Hyperlink"/>
          </w:rPr>
          <w:t xml:space="preserve">https://doi.org/10.1093/treephys/tpaa054</w:t>
        </w:r>
      </w:hyperlink>
    </w:p>
    <w:bookmarkEnd w:id="45"/>
    <w:bookmarkStart w:id="47" w:name="ref-luedeling_long-term_2024"/>
    <w:p>
      <w:pPr>
        <w:pStyle w:val="Bibliography"/>
      </w:pPr>
      <w:r>
        <w:t xml:space="preserve">Luedeling, E., Caspersen, L., Delgado Delgado, A., Egea, J. A., Ruiz, D., Ben Mimoun, M., Benmoussa, H., Ghrab, M., Kodad, O., El Yaacoubi, A., Fadón, E., &amp; Rodrigo, J. (2024).</w:t>
      </w:r>
      <w:r>
        <w:t xml:space="preserve"> </w:t>
      </w:r>
      <w:r>
        <w:rPr>
          <w:i/>
          <w:iCs/>
        </w:rPr>
        <w:t xml:space="preserve">Long-</w:t>
      </w:r>
      <w:r>
        <w:rPr>
          <w:i/>
          <w:iCs/>
        </w:rPr>
        <w:t xml:space="preserve">Term</w:t>
      </w:r>
      <w:r>
        <w:rPr>
          <w:i/>
          <w:iCs/>
        </w:rPr>
        <w:t xml:space="preserve"> </w:t>
      </w:r>
      <w:r>
        <w:rPr>
          <w:i/>
          <w:iCs/>
        </w:rPr>
        <w:t xml:space="preserve">Phenology</w:t>
      </w:r>
      <w:r>
        <w:rPr>
          <w:i/>
          <w:iCs/>
        </w:rPr>
        <w:t xml:space="preserve"> </w:t>
      </w:r>
      <w:r>
        <w:rPr>
          <w:i/>
          <w:iCs/>
        </w:rPr>
        <w:t xml:space="preserve">Observations</w:t>
      </w:r>
      <w:r>
        <w:rPr>
          <w:i/>
          <w:iCs/>
        </w:rPr>
        <w:t xml:space="preserve"> </w:t>
      </w:r>
      <w:r>
        <w:rPr>
          <w:i/>
          <w:iCs/>
        </w:rPr>
        <w:t xml:space="preserve">for</w:t>
      </w:r>
      <w:r>
        <w:rPr>
          <w:i/>
          <w:iCs/>
        </w:rPr>
        <w:t xml:space="preserve"> </w:t>
      </w:r>
      <w:r>
        <w:rPr>
          <w:i/>
          <w:iCs/>
        </w:rPr>
        <w:t xml:space="preserve">Temperate</w:t>
      </w:r>
      <w:r>
        <w:rPr>
          <w:i/>
          <w:iCs/>
        </w:rPr>
        <w:t xml:space="preserve"> </w:t>
      </w:r>
      <w:r>
        <w:rPr>
          <w:i/>
          <w:iCs/>
        </w:rPr>
        <w:t xml:space="preserve">Fruit</w:t>
      </w:r>
      <w:r>
        <w:rPr>
          <w:i/>
          <w:iCs/>
        </w:rPr>
        <w:t xml:space="preserve"> </w:t>
      </w:r>
      <w:r>
        <w:rPr>
          <w:i/>
          <w:iCs/>
        </w:rPr>
        <w:t xml:space="preserve">Trees</w:t>
      </w:r>
      <w:r>
        <w:rPr>
          <w:i/>
          <w:iCs/>
        </w:rPr>
        <w:t xml:space="preserve"> </w:t>
      </w:r>
      <w:r>
        <w:rPr>
          <w:i/>
          <w:iCs/>
        </w:rPr>
        <w:t xml:space="preserve">in the</w:t>
      </w:r>
      <w:r>
        <w:rPr>
          <w:i/>
          <w:iCs/>
        </w:rPr>
        <w:t xml:space="preserve"> </w:t>
      </w:r>
      <w:r>
        <w:rPr>
          <w:i/>
          <w:iCs/>
        </w:rPr>
        <w:t xml:space="preserve">Mediterranean</w:t>
      </w:r>
      <w:r>
        <w:rPr>
          <w:i/>
          <w:iCs/>
        </w:rPr>
        <w:t xml:space="preserve"> </w:t>
      </w:r>
      <w:r>
        <w:rPr>
          <w:i/>
          <w:iCs/>
        </w:rPr>
        <w:t xml:space="preserve">Region</w:t>
      </w:r>
      <w:r>
        <w:rPr>
          <w:i/>
          <w:iCs/>
        </w:rPr>
        <w:t xml:space="preserve"> </w:t>
      </w:r>
      <w:r>
        <w:rPr>
          <w:i/>
          <w:iCs/>
        </w:rPr>
        <w:t xml:space="preserve">(and</w:t>
      </w:r>
      <w:r>
        <w:rPr>
          <w:i/>
          <w:iCs/>
        </w:rPr>
        <w:t xml:space="preserve"> </w:t>
      </w:r>
      <w:r>
        <w:rPr>
          <w:i/>
          <w:iCs/>
        </w:rPr>
        <w:t xml:space="preserve">Germany</w:t>
      </w:r>
      <w:r>
        <w:rPr>
          <w:i/>
          <w:iCs/>
        </w:rPr>
        <w:t xml:space="preserve">):</w:t>
      </w:r>
      <w:r>
        <w:rPr>
          <w:i/>
          <w:iCs/>
        </w:rPr>
        <w:t xml:space="preserve"> </w:t>
      </w:r>
      <w:r>
        <w:rPr>
          <w:i/>
          <w:iCs/>
        </w:rPr>
        <w:t xml:space="preserve">A</w:t>
      </w:r>
      <w:r>
        <w:rPr>
          <w:i/>
          <w:iCs/>
        </w:rPr>
        <w:t xml:space="preserve"> </w:t>
      </w:r>
      <w:r>
        <w:rPr>
          <w:i/>
          <w:iCs/>
        </w:rPr>
        <w:t xml:space="preserve">Dataset</w:t>
      </w:r>
      <w:r>
        <w:rPr>
          <w:i/>
          <w:iCs/>
        </w:rPr>
        <w:t xml:space="preserve"> </w:t>
      </w:r>
      <w:r>
        <w:rPr>
          <w:i/>
          <w:iCs/>
        </w:rPr>
        <w:t xml:space="preserve">Compiled</w:t>
      </w:r>
      <w:r>
        <w:rPr>
          <w:i/>
          <w:iCs/>
        </w:rPr>
        <w:t xml:space="preserve"> </w:t>
      </w:r>
      <w:r>
        <w:rPr>
          <w:i/>
          <w:iCs/>
        </w:rPr>
        <w:t xml:space="preserve">by the</w:t>
      </w:r>
      <w:r>
        <w:rPr>
          <w:i/>
          <w:iCs/>
        </w:rPr>
        <w:t xml:space="preserve"> </w:t>
      </w:r>
      <w:r>
        <w:rPr>
          <w:i/>
          <w:iCs/>
        </w:rPr>
        <w:t xml:space="preserve">Adamedor</w:t>
      </w:r>
      <w:r>
        <w:rPr>
          <w:i/>
          <w:iCs/>
        </w:rPr>
        <w:t xml:space="preserve"> </w:t>
      </w:r>
      <w:r>
        <w:rPr>
          <w:i/>
          <w:iCs/>
        </w:rPr>
        <w:t xml:space="preserve">Project</w:t>
      </w:r>
      <w:r>
        <w:t xml:space="preserve">. bonndata.</w:t>
      </w:r>
      <w:r>
        <w:t xml:space="preserve"> </w:t>
      </w:r>
      <w:hyperlink r:id="rId46">
        <w:r>
          <w:rPr>
            <w:rStyle w:val="Hyperlink"/>
          </w:rPr>
          <w:t xml:space="preserve">https://doi.org/10.60507/FK2/MZIELI</w:t>
        </w:r>
      </w:hyperlink>
    </w:p>
    <w:bookmarkEnd w:id="47"/>
    <w:bookmarkStart w:id="49" w:name="Xa21e0a34aa2b858de7032df4cb2fb7bab64df70"/>
    <w:p>
      <w:pPr>
        <w:pStyle w:val="Bibliography"/>
      </w:pPr>
      <w:r>
        <w:t xml:space="preserve">Luedeling, E., Caspersen, L., &amp; Fernandez, E. (2024).</w:t>
      </w:r>
      <w:r>
        <w:t xml:space="preserve"> </w:t>
      </w:r>
      <w:r>
        <w:rPr>
          <w:i/>
          <w:iCs/>
        </w:rPr>
        <w:t xml:space="preserve">chillR</w:t>
      </w:r>
      <w:r>
        <w:rPr>
          <w:i/>
          <w:iCs/>
        </w:rPr>
        <w:t xml:space="preserve">:</w:t>
      </w:r>
      <w:r>
        <w:rPr>
          <w:i/>
          <w:iCs/>
        </w:rPr>
        <w:t xml:space="preserve"> </w:t>
      </w:r>
      <w:r>
        <w:rPr>
          <w:i/>
          <w:iCs/>
        </w:rPr>
        <w:t xml:space="preserve">Statistical</w:t>
      </w:r>
      <w:r>
        <w:rPr>
          <w:i/>
          <w:iCs/>
        </w:rPr>
        <w:t xml:space="preserve"> </w:t>
      </w:r>
      <w:r>
        <w:rPr>
          <w:i/>
          <w:iCs/>
        </w:rPr>
        <w:t xml:space="preserve">methods for phenology analysis in temperate fruit trees</w:t>
      </w:r>
      <w:r>
        <w:t xml:space="preserve">. https://cran.r-project.org/web/packages/chillR/.</w:t>
      </w:r>
      <w:r>
        <w:t xml:space="preserve"> </w:t>
      </w:r>
      <w:hyperlink r:id="rId48">
        <w:r>
          <w:rPr>
            <w:rStyle w:val="Hyperlink"/>
          </w:rPr>
          <w:t xml:space="preserve">https://cran.r-project.org/web/packages/chillR/index.html</w:t>
        </w:r>
      </w:hyperlink>
    </w:p>
    <w:bookmarkEnd w:id="49"/>
    <w:bookmarkStart w:id="51" w:name="ref-luedeling_phenoflex_2021"/>
    <w:p>
      <w:pPr>
        <w:pStyle w:val="Bibliography"/>
      </w:pPr>
      <w:r>
        <w:t xml:space="preserve">Luedeling, E., Schiffers, K., Fohrmann, T., &amp; Urbach, C. (2021). Phenoflex - an</w:t>
      </w:r>
      <w:r>
        <w:t xml:space="preserve"> </w:t>
      </w:r>
      <w:r>
        <w:t xml:space="preserve">Integrated</w:t>
      </w:r>
      <w:r>
        <w:t xml:space="preserve"> </w:t>
      </w:r>
      <w:r>
        <w:t xml:space="preserve">Model</w:t>
      </w:r>
      <w:r>
        <w:t xml:space="preserve"> </w:t>
      </w:r>
      <w:r>
        <w:t xml:space="preserve">to</w:t>
      </w:r>
      <w:r>
        <w:t xml:space="preserve"> </w:t>
      </w:r>
      <w:r>
        <w:t xml:space="preserve">Predict</w:t>
      </w:r>
      <w:r>
        <w:t xml:space="preserve"> </w:t>
      </w:r>
      <w:r>
        <w:t xml:space="preserve">Spring</w:t>
      </w:r>
      <w:r>
        <w:t xml:space="preserve"> </w:t>
      </w:r>
      <w:r>
        <w:t xml:space="preserve">Phenology</w:t>
      </w:r>
      <w:r>
        <w:t xml:space="preserve"> </w:t>
      </w:r>
      <w:r>
        <w:t xml:space="preserve">in</w:t>
      </w:r>
      <w:r>
        <w:t xml:space="preserve"> </w:t>
      </w:r>
      <w:r>
        <w:t xml:space="preserve">Temperate</w:t>
      </w:r>
      <w:r>
        <w:t xml:space="preserve"> </w:t>
      </w:r>
      <w:r>
        <w:t xml:space="preserve">Fruit</w:t>
      </w:r>
      <w:r>
        <w:t xml:space="preserve"> </w:t>
      </w:r>
      <w:r>
        <w:t xml:space="preserve">Trees</w:t>
      </w:r>
      <w:r>
        <w:t xml:space="preserve">.</w:t>
      </w:r>
      <w:r>
        <w:t xml:space="preserve"> </w:t>
      </w:r>
      <w:r>
        <w:rPr>
          <w:i/>
          <w:iCs/>
        </w:rPr>
        <w:t xml:space="preserve">Agricultural and Forest Meteorology</w:t>
      </w:r>
      <w:r>
        <w:t xml:space="preserve">,</w:t>
      </w:r>
      <w:r>
        <w:t xml:space="preserve"> </w:t>
      </w:r>
      <w:r>
        <w:rPr>
          <w:i/>
          <w:iCs/>
        </w:rPr>
        <w:t xml:space="preserve">307</w:t>
      </w:r>
      <w:r>
        <w:t xml:space="preserve">, 108491.</w:t>
      </w:r>
      <w:r>
        <w:t xml:space="preserve"> </w:t>
      </w:r>
      <w:hyperlink r:id="rId50">
        <w:r>
          <w:rPr>
            <w:rStyle w:val="Hyperlink"/>
          </w:rPr>
          <w:t xml:space="preserve">https://doi.org/10.1016/j.agrformet.2021.108491</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48" Target="https://cran.r-project.org/web/packages/chillR/index.html" TargetMode="External" /><Relationship Type="http://schemas.openxmlformats.org/officeDocument/2006/relationships/hyperlink" Id="rId50" Target="https://doi.org/10.1016/j.agrformet.2021.108491" TargetMode="External" /><Relationship Type="http://schemas.openxmlformats.org/officeDocument/2006/relationships/hyperlink" Id="rId42" Target="https://doi.org/10.1016/j.agrformet.2025.110859" TargetMode="External" /><Relationship Type="http://schemas.openxmlformats.org/officeDocument/2006/relationships/hyperlink" Id="rId44" Target="https://doi.org/10.1093/treephys/tpaa054" TargetMode="External" /><Relationship Type="http://schemas.openxmlformats.org/officeDocument/2006/relationships/hyperlink" Id="rId40" Target="https://doi.org/10.17660/ActaHortic.2024.1406.64" TargetMode="External" /><Relationship Type="http://schemas.openxmlformats.org/officeDocument/2006/relationships/hyperlink" Id="rId46" Target="https://doi.org/10.60507/FK2/MZIELI" TargetMode="External" /><Relationship Type="http://schemas.openxmlformats.org/officeDocument/2006/relationships/hyperlink" Id="rId21" Target="https://larscaspersen.github.io/combined-fitting-bloom/index.qmd.html" TargetMode="External" /><Relationship Type="http://schemas.openxmlformats.org/officeDocument/2006/relationships/hyperlink" Id="rId27" Target="https://larscaspersen.github.io/combined-fitting-bloom/notebooks/01-prepare-phenology-preview.html" TargetMode="External" /><Relationship Type="http://schemas.openxmlformats.org/officeDocument/2006/relationships/hyperlink" Id="rId29" Target="https://larscaspersen.github.io/combined-fitting-bloom/notebooks/02-calibrate-almond-preview.html" TargetMode="External" /><Relationship Type="http://schemas.openxmlformats.org/officeDocument/2006/relationships/hyperlink" Id="rId30" Target="https://larscaspersen.github.io/combined-fitting-bloom/notebooks/03-calibrate-apricot-preview.html" TargetMode="External" /><Relationship Type="http://schemas.openxmlformats.org/officeDocument/2006/relationships/hyperlink" Id="rId31" Target="https://larscaspersen.github.io/combined-fitting-bloom/notebooks/04-calibrate-cherry-preview.html" TargetMode="External" /><Relationship Type="http://schemas.openxmlformats.org/officeDocument/2006/relationships/hyperlink" Id="rId33" Target="https://larscaspersen.github.io/combined-fitting-bloom/notebooks/05-make-figures-preview.html" TargetMode="External" /><Relationship Type="http://schemas.openxmlformats.org/officeDocument/2006/relationships/hyperlink" Id="rId38" Target="https://zenodo.org/doi/10.5281/zenodo.15174333" TargetMode="External" /><Relationship Type="http://schemas.openxmlformats.org/officeDocument/2006/relationships/hyperlink" Id="rId36" Target="https://zenodo.org/doi/10.5281/zenodo.15174551" TargetMode="External" /></Relationships>
</file>

<file path=word/_rels/footnotes.xml.rels><?xml version="1.0" encoding="UTF-8"?><Relationships xmlns="http://schemas.openxmlformats.org/package/2006/relationships"><Relationship Type="http://schemas.openxmlformats.org/officeDocument/2006/relationships/hyperlink" Id="rId48" Target="https://cran.r-project.org/web/packages/chillR/index.html" TargetMode="External" /><Relationship Type="http://schemas.openxmlformats.org/officeDocument/2006/relationships/hyperlink" Id="rId50" Target="https://doi.org/10.1016/j.agrformet.2021.108491" TargetMode="External" /><Relationship Type="http://schemas.openxmlformats.org/officeDocument/2006/relationships/hyperlink" Id="rId42" Target="https://doi.org/10.1016/j.agrformet.2025.110859" TargetMode="External" /><Relationship Type="http://schemas.openxmlformats.org/officeDocument/2006/relationships/hyperlink" Id="rId44" Target="https://doi.org/10.1093/treephys/tpaa054" TargetMode="External" /><Relationship Type="http://schemas.openxmlformats.org/officeDocument/2006/relationships/hyperlink" Id="rId40" Target="https://doi.org/10.17660/ActaHortic.2024.1406.64" TargetMode="External" /><Relationship Type="http://schemas.openxmlformats.org/officeDocument/2006/relationships/hyperlink" Id="rId46" Target="https://doi.org/10.60507/FK2/MZIELI" TargetMode="External" /><Relationship Type="http://schemas.openxmlformats.org/officeDocument/2006/relationships/hyperlink" Id="rId21" Target="https://larscaspersen.github.io/combined-fitting-bloom/index.qmd.html" TargetMode="External" /><Relationship Type="http://schemas.openxmlformats.org/officeDocument/2006/relationships/hyperlink" Id="rId27" Target="https://larscaspersen.github.io/combined-fitting-bloom/notebooks/01-prepare-phenology-preview.html" TargetMode="External" /><Relationship Type="http://schemas.openxmlformats.org/officeDocument/2006/relationships/hyperlink" Id="rId29" Target="https://larscaspersen.github.io/combined-fitting-bloom/notebooks/02-calibrate-almond-preview.html" TargetMode="External" /><Relationship Type="http://schemas.openxmlformats.org/officeDocument/2006/relationships/hyperlink" Id="rId30" Target="https://larscaspersen.github.io/combined-fitting-bloom/notebooks/03-calibrate-apricot-preview.html" TargetMode="External" /><Relationship Type="http://schemas.openxmlformats.org/officeDocument/2006/relationships/hyperlink" Id="rId31" Target="https://larscaspersen.github.io/combined-fitting-bloom/notebooks/04-calibrate-cherry-preview.html" TargetMode="External" /><Relationship Type="http://schemas.openxmlformats.org/officeDocument/2006/relationships/hyperlink" Id="rId33" Target="https://larscaspersen.github.io/combined-fitting-bloom/notebooks/05-make-figures-preview.html" TargetMode="External" /><Relationship Type="http://schemas.openxmlformats.org/officeDocument/2006/relationships/hyperlink" Id="rId38" Target="https://zenodo.org/doi/10.5281/zenodo.15174333" TargetMode="External" /><Relationship Type="http://schemas.openxmlformats.org/officeDocument/2006/relationships/hyperlink" Id="rId36" Target="https://zenodo.org/doi/10.5281/zenodo.151745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 to the Manuscript: Combining temperate fruit tree cultivars to fit spring phenology models</dc:title>
  <dc:creator/>
  <cp:keywords>dormancy, model calibration, data-scarcity, almond, phenology, flowering</cp:keywords>
  <dcterms:created xsi:type="dcterms:W3CDTF">2025-11-20T12:16:56Z</dcterms:created>
  <dcterms:modified xsi:type="dcterms:W3CDTF">2025-11-20T12:16:56Z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Phenological datasets for temperate fruit trees are often short , fragmented and geographically restricted, which hampers the development of cultivar-specific spring phenology models. To address this, we propose a novel calibration approach (“combined-fitting”), which pools observations from several cultivars of the same species, distinguishing between shared and cultivar-specific parameters. This method requires fewer observations per cultivar and allows jointly analyzing cultivars of the same species. We evaluate combined-fitting using the PhenoFlex framework, comparing it to a baseline model and to models that are fitted only with data for single cultivars (“cultivar-fit”). Our analysis is based on flowering data from nine almond, six apricot and six sweet cherry cultivars across Mediterranean (Spain, Morocco, Tunisia) and German climates. The combined-fit model failed to achieve higher prediction accuracy compared to the cultivar-fit and the baseline approach, as evidenced by similar root mean square errors across the data splits and calibration dataset sizes. When comparing the estimated parameters of the chill and heat accumulation submodels, we observed a large variation among cultivars of the same species in the cultivar-fit models. In contrast and by design, the combined-fit yielded only one parameter set for cultivars of the same species. Our findings demonstrate that integrating data from multiple cultivars can yield spring phenology models with high accuracy. Even though the combined-fit approach did not outperform the cultivar-fit approach, combined-fitting offers a practical solution for spring phenology modeling with limited datasets and facilitates comparison across cultivars of the same species.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itation">
    <vt:lpwstr/>
  </property>
  <property fmtid="{D5CDD505-2E9C-101B-9397-08002B2CF9AE}" pid="10" name="clear-hidden-classes">
    <vt:lpwstr>none</vt:lpwstr>
  </property>
  <property fmtid="{D5CDD505-2E9C-101B-9397-08002B2CF9AE}" pid="11" name="csl">
    <vt:lpwstr>apa.csl</vt:lpwstr>
  </property>
  <property fmtid="{D5CDD505-2E9C-101B-9397-08002B2CF9AE}" pid="12" name="date">
    <vt:lpwstr>2025-11-20</vt:lpwstr>
  </property>
  <property fmtid="{D5CDD505-2E9C-101B-9397-08002B2CF9AE}" pid="13" name="google-scholar">
    <vt:lpwstr>True</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labels">
    <vt:lpwstr/>
  </property>
  <property fmtid="{D5CDD505-2E9C-101B-9397-08002B2CF9AE}" pid="18" name="lightbox">
    <vt:lpwstr>auto</vt:lpwstr>
  </property>
  <property fmtid="{D5CDD505-2E9C-101B-9397-08002B2CF9AE}" pid="19" name="manuscript">
    <vt:lpwstr/>
  </property>
  <property fmtid="{D5CDD505-2E9C-101B-9397-08002B2CF9AE}" pid="20" name="notebook-preview-options">
    <vt:lpwstr/>
  </property>
  <property fmtid="{D5CDD505-2E9C-101B-9397-08002B2CF9AE}" pid="21" name="quarto-internal">
    <vt:lpwstr/>
  </property>
  <property fmtid="{D5CDD505-2E9C-101B-9397-08002B2CF9AE}" pid="22" name="remove-hidden">
    <vt:lpwstr>all</vt:lpwstr>
  </property>
  <property fmtid="{D5CDD505-2E9C-101B-9397-08002B2CF9AE}" pid="23" name="subtitle">
    <vt:lpwstr>Sumbited to International Journal of Biometeorology</vt:lpwstr>
  </property>
  <property fmtid="{D5CDD505-2E9C-101B-9397-08002B2CF9AE}" pid="24" name="template-partials">
    <vt:lpwstr/>
  </property>
  <property fmtid="{D5CDD505-2E9C-101B-9397-08002B2CF9AE}" pid="25" name="theme">
    <vt:lpwstr>cosmo</vt:lpwstr>
  </property>
  <property fmtid="{D5CDD505-2E9C-101B-9397-08002B2CF9AE}" pid="26" name="title-block-style">
    <vt:lpwstr>default</vt:lpwstr>
  </property>
  <property fmtid="{D5CDD505-2E9C-101B-9397-08002B2CF9AE}" pid="27" name="toc-title">
    <vt:lpwstr>Table of contents</vt:lpwstr>
  </property>
  <property fmtid="{D5CDD505-2E9C-101B-9397-08002B2CF9AE}" pid="28" name="unroll-markdown-cells">
    <vt:lpwstr>True</vt:lpwstr>
  </property>
</Properties>
</file>